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620CB">
      <w:pPr>
        <w:spacing w:before="1440"/>
        <w:jc w:val="center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4A0F12"/>
          <w:sz w:val="60"/>
          <w:szCs w:val="24"/>
        </w:rPr>
        <w:t>延安精神（大湾区）</w:t>
      </w:r>
      <w:r>
        <w:rPr>
          <w:rFonts w:hint="eastAsia" w:ascii="仿宋" w:hAnsi="仿宋" w:eastAsia="仿宋" w:cs="仿宋"/>
          <w:b/>
          <w:color w:val="4A0F12"/>
          <w:sz w:val="60"/>
          <w:szCs w:val="24"/>
        </w:rPr>
        <w:br w:type="textWrapping"/>
      </w:r>
      <w:r>
        <w:rPr>
          <w:rFonts w:hint="eastAsia" w:ascii="仿宋" w:hAnsi="仿宋" w:eastAsia="仿宋" w:cs="仿宋"/>
          <w:b/>
          <w:color w:val="4A0F12"/>
          <w:sz w:val="60"/>
          <w:szCs w:val="24"/>
        </w:rPr>
        <w:t>学习展示中心</w:t>
      </w:r>
    </w:p>
    <w:p w14:paraId="69DAE910">
      <w:pPr>
        <w:pBdr>
          <w:bottom w:val="single" w:color="C59B53" w:sz="22" w:space="5"/>
        </w:pBdr>
        <w:spacing w:before="440" w:after="440"/>
        <w:jc w:val="center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44"/>
          <w:szCs w:val="24"/>
        </w:rPr>
        <w:t>终极目标导向创新升级方案</w:t>
      </w:r>
    </w:p>
    <w:p w14:paraId="7D33C027">
      <w:pPr>
        <w:jc w:val="center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color w:val="666666"/>
          <w:sz w:val="28"/>
          <w:szCs w:val="24"/>
        </w:rPr>
        <w:t>从数字化展馆到可复制的精神传承操作系统</w:t>
      </w:r>
    </w:p>
    <w:p w14:paraId="52F6259B">
      <w:pPr>
        <w:spacing w:before="3100"/>
        <w:jc w:val="center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color w:val="666666"/>
          <w:sz w:val="22"/>
          <w:szCs w:val="24"/>
        </w:rPr>
        <w:t>专业方案文本  ·  2026年7月</w:t>
      </w:r>
    </w:p>
    <w:p w14:paraId="4279761D">
      <w:pPr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2"/>
          <w:szCs w:val="24"/>
        </w:rPr>
        <w:br w:type="page"/>
      </w:r>
    </w:p>
    <w:p w14:paraId="46524B16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36"/>
          <w:szCs w:val="32"/>
        </w:rPr>
      </w:pPr>
      <w:r>
        <w:rPr>
          <w:rFonts w:hint="eastAsia" w:ascii="仿宋" w:hAnsi="仿宋" w:eastAsia="仿宋" w:cs="仿宋"/>
          <w:sz w:val="36"/>
          <w:szCs w:val="32"/>
        </w:rPr>
        <w:t>目录</w:t>
      </w:r>
    </w:p>
    <w:p w14:paraId="088818DC">
      <w:pPr>
        <w:spacing w:after="100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4A0F12"/>
          <w:sz w:val="24"/>
          <w:szCs w:val="24"/>
        </w:rPr>
        <w:t>一  先重新定义项目的终极目标</w:t>
      </w:r>
    </w:p>
    <w:p w14:paraId="793816A2">
      <w:pPr>
        <w:spacing w:after="100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4A0F12"/>
          <w:sz w:val="24"/>
          <w:szCs w:val="24"/>
        </w:rPr>
        <w:t>二  创新总体架构</w:t>
      </w:r>
    </w:p>
    <w:p w14:paraId="389EE2E5">
      <w:pPr>
        <w:spacing w:after="100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4A0F12"/>
          <w:sz w:val="24"/>
          <w:szCs w:val="24"/>
        </w:rPr>
        <w:t>三  八个旗舰创新产品</w:t>
      </w:r>
    </w:p>
    <w:p w14:paraId="5B1B754D">
      <w:pPr>
        <w:spacing w:after="100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4A0F12"/>
          <w:sz w:val="24"/>
          <w:szCs w:val="24"/>
        </w:rPr>
        <w:t>四  可信AI不是一个展项，而是全馆公共能力</w:t>
      </w:r>
    </w:p>
    <w:p w14:paraId="32F08E2A">
      <w:pPr>
        <w:spacing w:after="100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4A0F12"/>
          <w:sz w:val="24"/>
          <w:szCs w:val="24"/>
        </w:rPr>
        <w:t>五  六类人群的完整体验旅程</w:t>
      </w:r>
    </w:p>
    <w:p w14:paraId="565C1A3D">
      <w:pPr>
        <w:spacing w:after="100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4A0F12"/>
          <w:sz w:val="24"/>
          <w:szCs w:val="24"/>
        </w:rPr>
        <w:t>六  对现有八大子系统的创新升级</w:t>
      </w:r>
    </w:p>
    <w:p w14:paraId="1A120597">
      <w:pPr>
        <w:spacing w:after="100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4A0F12"/>
          <w:sz w:val="24"/>
          <w:szCs w:val="24"/>
        </w:rPr>
        <w:t>七  内容与技术的投资优先级</w:t>
      </w:r>
    </w:p>
    <w:p w14:paraId="68C3CF74">
      <w:pPr>
        <w:spacing w:after="100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4A0F12"/>
          <w:sz w:val="24"/>
          <w:szCs w:val="24"/>
        </w:rPr>
        <w:t>八  分阶段实施建议</w:t>
      </w:r>
    </w:p>
    <w:p w14:paraId="60BEE2B2">
      <w:pPr>
        <w:spacing w:after="100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4A0F12"/>
          <w:sz w:val="24"/>
          <w:szCs w:val="24"/>
        </w:rPr>
        <w:t>九  建议首个重点原型</w:t>
      </w:r>
    </w:p>
    <w:p w14:paraId="3249128A">
      <w:pPr>
        <w:spacing w:after="100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4A0F12"/>
          <w:sz w:val="24"/>
          <w:szCs w:val="24"/>
        </w:rPr>
        <w:t>十  评价体系</w:t>
      </w:r>
    </w:p>
    <w:p w14:paraId="06006134">
      <w:pPr>
        <w:spacing w:after="100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4A0F12"/>
          <w:sz w:val="24"/>
          <w:szCs w:val="24"/>
        </w:rPr>
        <w:t>十一  最终形成的项目壁垒</w:t>
      </w:r>
    </w:p>
    <w:p w14:paraId="4019F705">
      <w:pPr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2"/>
          <w:szCs w:val="24"/>
        </w:rPr>
        <w:br w:type="page"/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5"/>
      </w:tblGrid>
      <w:tr w14:paraId="59993529">
        <w:tc>
          <w:tcPr>
            <w:tcW w:w="9360" w:type="dxa"/>
            <w:shd w:val="clear" w:color="auto" w:fill="F7F2EC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7FB9E78C">
            <w:pPr>
              <w:spacing w:after="0" w:line="312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4A0F12"/>
                <w:sz w:val="24"/>
                <w:szCs w:val="24"/>
              </w:rPr>
              <w:t>本方案建立在《智慧系统建设方案》的八大子系统之上，重点回答三个问题：为什么建、最终要改变什么、如何形成别人无法简单复制设备却能够复制方法的全国样板。  编制日期：2026-07-12</w:t>
            </w:r>
          </w:p>
        </w:tc>
      </w:tr>
    </w:tbl>
    <w:p w14:paraId="50803756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36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6"/>
          <w:szCs w:val="32"/>
        </w:rPr>
        <w:t>一、先重新定义项目的终极目标</w:t>
      </w:r>
    </w:p>
    <w:p w14:paraId="2D8DCF90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1.1 核心判断</w:t>
      </w:r>
    </w:p>
    <w:p w14:paraId="3752890A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本项目的终极目标不应停留在“建成一个采用AI、XR、8K技术的红色展馆”，而应定义为：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5"/>
      </w:tblGrid>
      <w:tr w14:paraId="524C7371">
        <w:tc>
          <w:tcPr>
            <w:tcW w:w="9360" w:type="dxa"/>
            <w:shd w:val="clear" w:color="auto" w:fill="F7F2EC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14698978">
            <w:pPr>
              <w:spacing w:after="0" w:line="312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4"/>
                <w:szCs w:val="24"/>
              </w:rPr>
              <w:t>建设一套以权威史料为根、以真实体验为桥、以现实行动为落点，能够让不同人群持续理解、主动实践、共同创造并广泛传播延安精神，且可向全国输出复制的数智化精神传承操作系统。</w:t>
            </w:r>
          </w:p>
        </w:tc>
      </w:tr>
    </w:tbl>
    <w:p w14:paraId="4D536FF3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它最终要实现的不是“观众看过”，而是五个逐级递进的结果：</w:t>
      </w:r>
    </w:p>
    <w:p w14:paraId="68655B49">
      <w:pPr>
        <w:pStyle w:val="14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看得懂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：复杂理论能够被不同年龄、不同文化背景的人准确理解；</w:t>
      </w:r>
    </w:p>
    <w:p w14:paraId="663570C2">
      <w:pPr>
        <w:pStyle w:val="14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愿意信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：所有表达有权威史料来源，AI回答可追溯、可核验；</w:t>
      </w:r>
    </w:p>
    <w:p w14:paraId="02118376">
      <w:pPr>
        <w:pStyle w:val="14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真正有感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：通过历史情境、文物实证和人物故事形成真实共情；</w:t>
      </w:r>
    </w:p>
    <w:p w14:paraId="4C2E39CB">
      <w:pPr>
        <w:pStyle w:val="14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能够去做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：把延安精神转化为现实学习、工作和社会实践行动；</w:t>
      </w:r>
    </w:p>
    <w:p w14:paraId="0B278DA2">
      <w:pPr>
        <w:pStyle w:val="14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愿意再传播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：参观者从内容接收者变为讲述者、创作者和同行者。</w:t>
      </w:r>
    </w:p>
    <w:p w14:paraId="613ED8CF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1.2 项目价值公式</w:t>
      </w:r>
    </w:p>
    <w:p w14:paraId="7081F85E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建议以以下公式统一后续空间、内容、系统和运营决策：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5"/>
      </w:tblGrid>
      <w:tr w14:paraId="682926D5">
        <w:tc>
          <w:tcPr>
            <w:tcW w:w="9360" w:type="dxa"/>
            <w:shd w:val="clear" w:color="auto" w:fill="F7F2EC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43D6EEB6">
            <w:pPr>
              <w:spacing w:after="0" w:line="312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4"/>
                <w:szCs w:val="24"/>
              </w:rPr>
              <w:t>项目长期价值 = 内容权威性 × 深度学习率 × 行动转化率 × 持续参与率 × 全国复制能力</w:t>
            </w:r>
          </w:p>
        </w:tc>
      </w:tr>
    </w:tbl>
    <w:p w14:paraId="2221A8C1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这五项是乘法关系。任何一项接近零，项目都可能退化为一次性参观、设备展示或短期热点。</w:t>
      </w:r>
    </w:p>
    <w:p w14:paraId="4AA154B5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1.3 从“建馆思维”转向六个关键转变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2"/>
        <w:gridCol w:w="4802"/>
      </w:tblGrid>
      <w:tr w14:paraId="759AFE0E">
        <w:trPr>
          <w:cantSplit/>
          <w:tblHeader/>
        </w:trPr>
        <w:tc>
          <w:tcPr>
            <w:tcW w:w="2925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11752E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传统建馆思维</w:t>
            </w:r>
          </w:p>
        </w:tc>
        <w:tc>
          <w:tcPr>
            <w:tcW w:w="6435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59FE7B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终极目标导向思维</w:t>
            </w:r>
          </w:p>
        </w:tc>
      </w:tr>
      <w:tr w14:paraId="2BEFE297">
        <w:trPr>
          <w:cantSplit/>
        </w:trPr>
        <w:tc>
          <w:tcPr>
            <w:tcW w:w="292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9A6F9F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建一个展览空间</w:t>
            </w:r>
          </w:p>
        </w:tc>
        <w:tc>
          <w:tcPr>
            <w:tcW w:w="643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D06013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建一套持续运行的精神传承系统</w:t>
            </w:r>
          </w:p>
        </w:tc>
      </w:tr>
      <w:tr w14:paraId="64E42F9F">
        <w:trPr>
          <w:cantSplit/>
        </w:trPr>
        <w:tc>
          <w:tcPr>
            <w:tcW w:w="292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C70002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观众听讲、看展</w:t>
            </w:r>
          </w:p>
        </w:tc>
        <w:tc>
          <w:tcPr>
            <w:tcW w:w="643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BB0954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观众提问、选择、协作、实践、创作</w:t>
            </w:r>
          </w:p>
        </w:tc>
      </w:tr>
      <w:tr w14:paraId="47DEB7B7">
        <w:trPr>
          <w:cantSplit/>
        </w:trPr>
        <w:tc>
          <w:tcPr>
            <w:tcW w:w="292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CE1E4C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所有人看同一套内容</w:t>
            </w:r>
          </w:p>
        </w:tc>
        <w:tc>
          <w:tcPr>
            <w:tcW w:w="643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D6E8C2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同一权威内容针对不同人群进行分层表达</w:t>
            </w:r>
          </w:p>
        </w:tc>
      </w:tr>
      <w:tr w14:paraId="77122437">
        <w:trPr>
          <w:cantSplit/>
        </w:trPr>
        <w:tc>
          <w:tcPr>
            <w:tcW w:w="292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DCC909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参观结束即关系结束</w:t>
            </w:r>
          </w:p>
        </w:tc>
        <w:tc>
          <w:tcPr>
            <w:tcW w:w="643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46CF6F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形成参观前、参观中、参观后365天学习关系</w:t>
            </w:r>
          </w:p>
        </w:tc>
      </w:tr>
      <w:tr w14:paraId="724F6142">
        <w:trPr>
          <w:cantSplit/>
        </w:trPr>
        <w:tc>
          <w:tcPr>
            <w:tcW w:w="292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579828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以设备数量衡量先进性</w:t>
            </w:r>
          </w:p>
        </w:tc>
        <w:tc>
          <w:tcPr>
            <w:tcW w:w="643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943243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以学习效果、行动转化和内容生命力衡量价值</w:t>
            </w:r>
          </w:p>
        </w:tc>
      </w:tr>
      <w:tr w14:paraId="18444A80">
        <w:trPr>
          <w:cantSplit/>
        </w:trPr>
        <w:tc>
          <w:tcPr>
            <w:tcW w:w="292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5A924C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复制装修、硬件和展项</w:t>
            </w:r>
          </w:p>
        </w:tc>
        <w:tc>
          <w:tcPr>
            <w:tcW w:w="643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205754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输出知识、课程、内容组件、技术接口和运营标准</w:t>
            </w:r>
          </w:p>
        </w:tc>
      </w:tr>
    </w:tbl>
    <w:p w14:paraId="3479EC96">
      <w:pPr>
        <w:spacing w:after="20"/>
        <w:rPr>
          <w:rFonts w:hint="eastAsia" w:ascii="仿宋" w:hAnsi="仿宋" w:eastAsia="仿宋" w:cs="仿宋"/>
          <w:sz w:val="22"/>
          <w:szCs w:val="24"/>
        </w:rPr>
      </w:pPr>
    </w:p>
    <w:p w14:paraId="570514DF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1.4 唯一北极星指标</w:t>
      </w:r>
    </w:p>
    <w:p w14:paraId="10994A17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建议将“参观人次”降为基础运营指标，将以下指标作为项目北极星指标：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5"/>
      </w:tblGrid>
      <w:tr w14:paraId="780E3C08">
        <w:tc>
          <w:tcPr>
            <w:tcW w:w="9360" w:type="dxa"/>
            <w:shd w:val="clear" w:color="auto" w:fill="F7F2EC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4BD31236">
            <w:pPr>
              <w:spacing w:after="0" w:line="312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4"/>
                <w:szCs w:val="24"/>
              </w:rPr>
              <w:t>有效学习与行动转化人次</w:t>
            </w:r>
          </w:p>
        </w:tc>
      </w:tr>
    </w:tbl>
    <w:p w14:paraId="6140311D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一个用户同时完成以下三项，才计为一次有效转化：</w:t>
      </w:r>
    </w:p>
    <w:p w14:paraId="2A00DAB4">
      <w:pPr>
        <w:pStyle w:val="14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完成一条核心学习路径；</w:t>
      </w:r>
    </w:p>
    <w:p w14:paraId="4C691CFE">
      <w:pPr>
        <w:pStyle w:val="14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通过一种非应试式理解验证，如史料判断、情境协作或作品表达；</w:t>
      </w:r>
    </w:p>
    <w:p w14:paraId="4FAC9C02">
      <w:pPr>
        <w:pStyle w:val="14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形成一个可执行的现实行动，并在参观后产生至少一次反馈。</w:t>
      </w:r>
    </w:p>
    <w:p w14:paraId="3869140A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该指标不对个人进行思想标签或信念评分，只评估课程设计、学习参与和公共教育效果。</w:t>
      </w:r>
    </w:p>
    <w:p w14:paraId="55EEBF1A">
      <w:pPr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2"/>
          <w:szCs w:val="24"/>
        </w:rPr>
        <w:br w:type="page"/>
      </w:r>
    </w:p>
    <w:p w14:paraId="1AD5A35B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36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6"/>
          <w:szCs w:val="32"/>
        </w:rPr>
        <w:t>二、创新总体架构</w:t>
      </w:r>
    </w:p>
    <w:p w14:paraId="7D0A0766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2.1 对外表达：“一个馆、一朵云、一个AI、一张网、一套标准”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2"/>
        <w:gridCol w:w="3202"/>
        <w:gridCol w:w="3202"/>
      </w:tblGrid>
      <w:tr w14:paraId="34155EF8">
        <w:trPr>
          <w:cantSplit/>
          <w:tblHeader/>
        </w:trPr>
        <w:tc>
          <w:tcPr>
            <w:tcW w:w="1468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25D98C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组成</w:t>
            </w:r>
          </w:p>
        </w:tc>
        <w:tc>
          <w:tcPr>
            <w:tcW w:w="3670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D27059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定位</w:t>
            </w:r>
          </w:p>
        </w:tc>
        <w:tc>
          <w:tcPr>
            <w:tcW w:w="4222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8C5977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核心价值</w:t>
            </w:r>
          </w:p>
        </w:tc>
      </w:tr>
      <w:tr w14:paraId="32729772">
        <w:trPr>
          <w:cantSplit/>
        </w:trPr>
        <w:tc>
          <w:tcPr>
            <w:tcW w:w="14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70AEEA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0"/>
                <w:szCs w:val="24"/>
              </w:rPr>
              <w:t>一个馆</w:t>
            </w:r>
          </w:p>
        </w:tc>
        <w:tc>
          <w:tcPr>
            <w:tcW w:w="367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A47B43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13000㎡线下旗舰中心</w:t>
            </w:r>
          </w:p>
        </w:tc>
        <w:tc>
          <w:tcPr>
            <w:tcW w:w="422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7E5BE5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提供不可替代的实物、空间、仪式、协作与沉浸体验</w:t>
            </w:r>
          </w:p>
        </w:tc>
      </w:tr>
      <w:tr w14:paraId="2658765B">
        <w:trPr>
          <w:cantSplit/>
        </w:trPr>
        <w:tc>
          <w:tcPr>
            <w:tcW w:w="146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E8655B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0"/>
                <w:szCs w:val="24"/>
              </w:rPr>
              <w:t>一朵云</w:t>
            </w:r>
          </w:p>
        </w:tc>
        <w:tc>
          <w:tcPr>
            <w:tcW w:w="367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8533F1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数字原生的云上学习共同体</w:t>
            </w:r>
          </w:p>
        </w:tc>
        <w:tc>
          <w:tcPr>
            <w:tcW w:w="422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82F571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突破时间和地域限制，延续参观前后关系</w:t>
            </w:r>
          </w:p>
        </w:tc>
      </w:tr>
      <w:tr w14:paraId="224D4E3B">
        <w:trPr>
          <w:cantSplit/>
        </w:trPr>
        <w:tc>
          <w:tcPr>
            <w:tcW w:w="14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2DBABA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0"/>
                <w:szCs w:val="24"/>
              </w:rPr>
              <w:t>一个AI</w:t>
            </w:r>
          </w:p>
        </w:tc>
        <w:tc>
          <w:tcPr>
            <w:tcW w:w="367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CA6445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权威、可溯源的延安精神可信知识引擎</w:t>
            </w:r>
          </w:p>
        </w:tc>
        <w:tc>
          <w:tcPr>
            <w:tcW w:w="422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A8F70C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让每个人都能提问，并获得有史料依据的分层回答</w:t>
            </w:r>
          </w:p>
        </w:tc>
      </w:tr>
      <w:tr w14:paraId="7A6A27E6">
        <w:trPr>
          <w:cantSplit/>
        </w:trPr>
        <w:tc>
          <w:tcPr>
            <w:tcW w:w="146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56FE59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0"/>
                <w:szCs w:val="24"/>
              </w:rPr>
              <w:t>一张网</w:t>
            </w:r>
          </w:p>
        </w:tc>
        <w:tc>
          <w:tcPr>
            <w:tcW w:w="367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DDCCBE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“旗舰中心+湾区节点+全国节点”协同网络</w:t>
            </w:r>
          </w:p>
        </w:tc>
        <w:tc>
          <w:tcPr>
            <w:tcW w:w="422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D1D89B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把单馆影响力扩展为跨校、跨城、跨区域传播能力</w:t>
            </w:r>
          </w:p>
        </w:tc>
      </w:tr>
      <w:tr w14:paraId="4348D87C">
        <w:trPr>
          <w:cantSplit/>
        </w:trPr>
        <w:tc>
          <w:tcPr>
            <w:tcW w:w="14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406AB9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0"/>
                <w:szCs w:val="24"/>
              </w:rPr>
              <w:t>一套标准</w:t>
            </w:r>
          </w:p>
        </w:tc>
        <w:tc>
          <w:tcPr>
            <w:tcW w:w="367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603BFD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内容、课程、体验、数据、运营和安全标准</w:t>
            </w:r>
          </w:p>
        </w:tc>
        <w:tc>
          <w:tcPr>
            <w:tcW w:w="422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8042D7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实现低成本、高质量、可监管的全国复制</w:t>
            </w:r>
          </w:p>
        </w:tc>
      </w:tr>
    </w:tbl>
    <w:p w14:paraId="1BFCC515">
      <w:pPr>
        <w:spacing w:after="20"/>
        <w:rPr>
          <w:rFonts w:hint="eastAsia" w:ascii="仿宋" w:hAnsi="仿宋" w:eastAsia="仿宋" w:cs="仿宋"/>
          <w:sz w:val="22"/>
          <w:szCs w:val="24"/>
        </w:rPr>
      </w:pPr>
    </w:p>
    <w:p w14:paraId="233B6A81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2.2 内部架构：“一核、双域、三引擎、四闭环、八旗舰、N节点”</w:t>
      </w:r>
    </w:p>
    <w:p w14:paraId="3BD87727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一核：权威内容内核</w:t>
      </w:r>
    </w:p>
    <w:p w14:paraId="211C893A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所有展览、课程、AI回答、数字人、互动剧本和用户创作，统一建立在经过专家编审的史料库、知识图谱和版本体系上。</w:t>
      </w:r>
    </w:p>
    <w:p w14:paraId="155DF872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双域：线下实体域 + 线上数字域</w:t>
      </w:r>
    </w:p>
    <w:p w14:paraId="15190907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线下实体域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：负责实物见证、空间情绪、团队协作、仪式体验和身体参与；</w:t>
      </w:r>
    </w:p>
    <w:p w14:paraId="764656C4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线上数字域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：负责预习、复习、持续学习、跨城协作、研究检索和内容共创；</w:t>
      </w:r>
    </w:p>
    <w:p w14:paraId="11AD3982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两者不是简单镜像，而是任务和数据连续的一体化体验。</w:t>
      </w:r>
    </w:p>
    <w:p w14:paraId="1BC50EF7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三引擎</w:t>
      </w:r>
    </w:p>
    <w:p w14:paraId="346A578D">
      <w:pPr>
        <w:pStyle w:val="14"/>
        <w:numPr>
          <w:numId w:val="7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可信叙事引擎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：把同一史料转化为面向不同人群的准确表达；</w:t>
      </w:r>
    </w:p>
    <w:p w14:paraId="1539E56A">
      <w:pPr>
        <w:pStyle w:val="14"/>
        <w:numPr>
          <w:numId w:val="7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学习成长引擎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：管理每个人从提问、体验到行动和再传播的成长路径；</w:t>
      </w:r>
    </w:p>
    <w:p w14:paraId="2D045329">
      <w:pPr>
        <w:pStyle w:val="14"/>
        <w:numPr>
          <w:numId w:val="7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复制运营引擎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：把内容、课程、体验和运营方法打包输出到全国节点。</w:t>
      </w:r>
    </w:p>
    <w:p w14:paraId="6CFDF9C9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四个持续闭环</w:t>
      </w:r>
    </w:p>
    <w:p w14:paraId="6EF286AF">
      <w:pPr>
        <w:keepLines/>
        <w:jc w:val="center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2"/>
          <w:szCs w:val="24"/>
        </w:rPr>
        <w:drawing>
          <wp:inline distT="0" distB="0" distL="114300" distR="114300">
            <wp:extent cx="5166360" cy="8369300"/>
            <wp:effectExtent l="0" t="0" r="1524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836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A5CAC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八个旗舰创新产品</w:t>
      </w:r>
    </w:p>
    <w:p w14:paraId="6C6C8B03">
      <w:pPr>
        <w:pStyle w:val="14"/>
        <w:numPr>
          <w:numId w:val="8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“一馆千面”自适应叙事空间；</w:t>
      </w:r>
    </w:p>
    <w:p w14:paraId="04DCD423">
      <w:pPr>
        <w:pStyle w:val="14"/>
        <w:numPr>
          <w:numId w:val="8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“十三年·十三问”历史情境任务剧场；</w:t>
      </w:r>
    </w:p>
    <w:p w14:paraId="6FBD596B">
      <w:pPr>
        <w:pStyle w:val="14"/>
        <w:numPr>
          <w:numId w:val="8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“一物一世界”革命文物数字生命工程；</w:t>
      </w:r>
    </w:p>
    <w:p w14:paraId="755A17A7">
      <w:pPr>
        <w:pStyle w:val="14"/>
        <w:numPr>
          <w:numId w:val="8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“一人一程”延安精神成长护照；</w:t>
      </w:r>
    </w:p>
    <w:p w14:paraId="3EE59351">
      <w:pPr>
        <w:pStyle w:val="14"/>
        <w:numPr>
          <w:numId w:val="8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“永不闭馆”云上学习共同体；</w:t>
      </w:r>
    </w:p>
    <w:p w14:paraId="2A5306F9">
      <w:pPr>
        <w:pStyle w:val="14"/>
        <w:numPr>
          <w:numId w:val="8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“湾区青年共创计划”；</w:t>
      </w:r>
    </w:p>
    <w:p w14:paraId="2133DE4B">
      <w:pPr>
        <w:pStyle w:val="14"/>
        <w:numPr>
          <w:numId w:val="8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“把精神带回去”现实行动实验室；</w:t>
      </w:r>
    </w:p>
    <w:p w14:paraId="34FC40CF">
      <w:pPr>
        <w:pStyle w:val="14"/>
        <w:numPr>
          <w:numId w:val="8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“星火节点”全国复制网络与数字展馆OS。</w:t>
      </w:r>
    </w:p>
    <w:p w14:paraId="63F0B8A9">
      <w:pPr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2"/>
          <w:szCs w:val="24"/>
        </w:rPr>
        <w:br w:type="page"/>
      </w:r>
    </w:p>
    <w:p w14:paraId="6D8D02F2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36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6"/>
          <w:szCs w:val="32"/>
        </w:rPr>
        <w:t>三、八个旗舰创新产品</w:t>
      </w:r>
    </w:p>
    <w:p w14:paraId="625D1804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F1.“一馆千面”自适应叙事空间</w:t>
      </w:r>
    </w:p>
    <w:p w14:paraId="4C5AB6FA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3.1.1 核心创意</w:t>
      </w:r>
    </w:p>
    <w:p w14:paraId="76806643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不再让所有人走同一条路、听同一套讲解，而是在同一权威史料体系下，根据人群、时间、学习目标和现场客流，组合出不同叙事路径。</w:t>
      </w:r>
    </w:p>
    <w:p w14:paraId="75D79A92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所谓“千面”不是AI临场改写历史，而是由AI在</w:t>
      </w: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已经专家审核的内容组件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中进行安全编排。</w:t>
      </w:r>
    </w:p>
    <w:p w14:paraId="514C2438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3.1.2 五类基础叙事版本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2"/>
        <w:gridCol w:w="3202"/>
        <w:gridCol w:w="3202"/>
      </w:tblGrid>
      <w:tr w14:paraId="06C22D61">
        <w:trPr>
          <w:cantSplit/>
          <w:tblHeader/>
        </w:trPr>
        <w:tc>
          <w:tcPr>
            <w:tcW w:w="1248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8D1F5C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人群</w:t>
            </w:r>
          </w:p>
        </w:tc>
        <w:tc>
          <w:tcPr>
            <w:tcW w:w="3952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01EDF9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叙事重点</w:t>
            </w:r>
          </w:p>
        </w:tc>
        <w:tc>
          <w:tcPr>
            <w:tcW w:w="4160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4F4BB4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主要体验方式</w:t>
            </w:r>
          </w:p>
        </w:tc>
      </w:tr>
      <w:tr w14:paraId="780A5508">
        <w:trPr>
          <w:cantSplit/>
        </w:trPr>
        <w:tc>
          <w:tcPr>
            <w:tcW w:w="12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7D8607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党政干部</w:t>
            </w:r>
          </w:p>
        </w:tc>
        <w:tc>
          <w:tcPr>
            <w:tcW w:w="39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ACC0F1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理论源流、群众路线、实事求是、现实治理</w:t>
            </w:r>
          </w:p>
        </w:tc>
        <w:tc>
          <w:tcPr>
            <w:tcW w:w="4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0EEE2D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史料研读、情境决策、案例研讨、行动复盘</w:t>
            </w:r>
          </w:p>
        </w:tc>
      </w:tr>
      <w:tr w14:paraId="7C85A3D5">
        <w:trPr>
          <w:cantSplit/>
        </w:trPr>
        <w:tc>
          <w:tcPr>
            <w:tcW w:w="124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24C069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小学阶段</w:t>
            </w:r>
          </w:p>
        </w:tc>
        <w:tc>
          <w:tcPr>
            <w:tcW w:w="395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2B6905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人物故事、生活细节、情感启蒙</w:t>
            </w:r>
          </w:p>
        </w:tc>
        <w:tc>
          <w:tcPr>
            <w:tcW w:w="416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3D9D7A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寻迹、角色任务、文物观察、手工表达</w:t>
            </w:r>
          </w:p>
        </w:tc>
      </w:tr>
      <w:tr w14:paraId="14981881">
        <w:trPr>
          <w:cantSplit/>
        </w:trPr>
        <w:tc>
          <w:tcPr>
            <w:tcW w:w="12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763A11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中学阶段</w:t>
            </w:r>
          </w:p>
        </w:tc>
        <w:tc>
          <w:tcPr>
            <w:tcW w:w="39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DDA3B3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历史逻辑、因果关系、集体协作</w:t>
            </w:r>
          </w:p>
        </w:tc>
        <w:tc>
          <w:tcPr>
            <w:tcW w:w="4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93DE28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线索推理、团队任务、时间轴重构</w:t>
            </w:r>
          </w:p>
        </w:tc>
      </w:tr>
      <w:tr w14:paraId="600D1C1A">
        <w:trPr>
          <w:cantSplit/>
        </w:trPr>
        <w:tc>
          <w:tcPr>
            <w:tcW w:w="124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95E9B3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高校与专家</w:t>
            </w:r>
          </w:p>
        </w:tc>
        <w:tc>
          <w:tcPr>
            <w:tcW w:w="395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4CC8C6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理论深度、史料证据、研究问题</w:t>
            </w:r>
          </w:p>
        </w:tc>
        <w:tc>
          <w:tcPr>
            <w:tcW w:w="416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A6FB6A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原始文献、知识图谱、专题研讨、研究接口</w:t>
            </w:r>
          </w:p>
        </w:tc>
      </w:tr>
      <w:tr w14:paraId="1A1AF51A">
        <w:trPr>
          <w:cantSplit/>
        </w:trPr>
        <w:tc>
          <w:tcPr>
            <w:tcW w:w="124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5CC573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港澳青年</w:t>
            </w:r>
          </w:p>
        </w:tc>
        <w:tc>
          <w:tcPr>
            <w:tcW w:w="39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C70407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共同历史、湾区联系、当代表达</w:t>
            </w:r>
          </w:p>
        </w:tc>
        <w:tc>
          <w:tcPr>
            <w:tcW w:w="416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38A332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繁简英多语、轻量任务、同伴共创、跨境协作</w:t>
            </w:r>
          </w:p>
        </w:tc>
      </w:tr>
    </w:tbl>
    <w:p w14:paraId="753818CE">
      <w:pPr>
        <w:spacing w:after="20"/>
        <w:rPr>
          <w:rFonts w:hint="eastAsia" w:ascii="仿宋" w:hAnsi="仿宋" w:eastAsia="仿宋" w:cs="仿宋"/>
          <w:sz w:val="22"/>
          <w:szCs w:val="24"/>
        </w:rPr>
      </w:pPr>
    </w:p>
    <w:p w14:paraId="2ABAAD22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3.1.3 体验流程</w:t>
      </w:r>
    </w:p>
    <w:p w14:paraId="712C6464">
      <w:pPr>
        <w:pStyle w:val="14"/>
        <w:numPr>
          <w:numId w:val="9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入馆前选择“我想回答的问题”和可用时长；</w:t>
      </w:r>
    </w:p>
    <w:p w14:paraId="6011F530">
      <w:pPr>
        <w:pStyle w:val="14"/>
        <w:numPr>
          <w:numId w:val="9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系统只基于用户主动选择的信息生成路线，不进行敏感属性推断；</w:t>
      </w:r>
    </w:p>
    <w:p w14:paraId="0BF6B1D4">
      <w:pPr>
        <w:pStyle w:val="14"/>
        <w:numPr>
          <w:numId w:val="9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场馆屏幕、灯光、声音、AI讲解和互动任务按路线联动；</w:t>
      </w:r>
    </w:p>
    <w:p w14:paraId="4D3BC0B2">
      <w:pPr>
        <w:pStyle w:val="14"/>
        <w:numPr>
          <w:numId w:val="9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客流拥挤时，系统在保持教学目标不变的前提下动态切换同等内容节点；</w:t>
      </w:r>
    </w:p>
    <w:p w14:paraId="0F8B4DDF">
      <w:pPr>
        <w:pStyle w:val="14"/>
        <w:numPr>
          <w:numId w:val="9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离馆后生成个人学习脉络，而不是简单的“打卡记录”。</w:t>
      </w:r>
    </w:p>
    <w:p w14:paraId="1B1739E0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3.1.4 创新价值</w:t>
      </w:r>
    </w:p>
    <w:p w14:paraId="0D018E11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解决“一套内容难以覆盖所有人群”的问题；</w:t>
      </w:r>
    </w:p>
    <w:p w14:paraId="695CDF9A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使模块化空间真正具备动态更新价值；</w:t>
      </w:r>
    </w:p>
    <w:p w14:paraId="2767698D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将智慧导览从“找路工具”升级为“叙事编排工具”；</w:t>
      </w:r>
    </w:p>
    <w:p w14:paraId="2C330AE6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同时服务分众教育与客流分流。</w:t>
      </w:r>
    </w:p>
    <w:p w14:paraId="539449A4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3.1.5 最小可行版本</w:t>
      </w:r>
    </w:p>
    <w:p w14:paraId="6617AC69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先建设4条经过审核的标准路线：党政干部、青少年、港澳青年、60分钟大众精华路线；暂不追求无限生成。</w:t>
      </w:r>
    </w:p>
    <w:p w14:paraId="0E991782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F2.“十三年·十三问”历史情境任务剧场</w:t>
      </w:r>
    </w:p>
    <w:p w14:paraId="04E5CDA0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3.2.1 核心创意</w:t>
      </w:r>
    </w:p>
    <w:p w14:paraId="18334B2D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以延安十三年为历史主轴，不把历史做成被动观看的影片，而是选择13个有代表性的真实历史问题，让参与者在史料约束和现实条件下完成团队任务。</w:t>
      </w:r>
    </w:p>
    <w:p w14:paraId="7E59373B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参与者不能改写历史结果，而是通过证据理解当时为什么这样选择、这些选择体现了怎样的精神，并进一步思考今天如何践行。</w:t>
      </w:r>
    </w:p>
    <w:p w14:paraId="3DA6CEC4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3.2.2 单个任务的标准结构</w:t>
      </w:r>
    </w:p>
    <w:p w14:paraId="1ADA983E">
      <w:pPr>
        <w:keepLines/>
        <w:jc w:val="center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2"/>
          <w:szCs w:val="24"/>
        </w:rPr>
        <w:drawing>
          <wp:inline distT="0" distB="0" distL="114300" distR="114300">
            <wp:extent cx="5166360" cy="3202940"/>
            <wp:effectExtent l="0" t="0" r="15240" b="228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320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95E71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3.2.3 可选任务方向</w:t>
      </w:r>
    </w:p>
    <w:p w14:paraId="496523C7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在物资紧缺条件下，如何组织生产并保障基本需要；</w:t>
      </w:r>
    </w:p>
    <w:p w14:paraId="7E162EF5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在复杂环境中，如何开展调查研究并作出实事求是的判断；</w:t>
      </w:r>
    </w:p>
    <w:p w14:paraId="5C148AEF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如何用群众听得懂的方式传播理论和事实；</w:t>
      </w:r>
    </w:p>
    <w:p w14:paraId="50D2B9CC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如何在有限资源下完成团队分工与协作；</w:t>
      </w:r>
    </w:p>
    <w:p w14:paraId="0143F86F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延安精神如何在华南抗战、广东改革开放和湾区建设中形成现实回响。</w:t>
      </w:r>
    </w:p>
    <w:p w14:paraId="48E45D66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具体题目、人物、史料和结论必须经过党史专家逐项审定。</w:t>
      </w:r>
    </w:p>
    <w:p w14:paraId="1C0E416C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3.2.4 评价方式</w:t>
      </w:r>
    </w:p>
    <w:p w14:paraId="7F8557E2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不设置简单的“政治正确得分”，重点评价：</w:t>
      </w:r>
    </w:p>
    <w:p w14:paraId="0F6ECEE1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是否主动寻找和使用证据；</w:t>
      </w:r>
    </w:p>
    <w:p w14:paraId="3F7CFCDD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是否理解历史约束条件；</w:t>
      </w:r>
    </w:p>
    <w:p w14:paraId="108A1C23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是否有效协作；</w:t>
      </w:r>
    </w:p>
    <w:p w14:paraId="782F7686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是否能把历史精神转化为现实问题解决方法；</w:t>
      </w:r>
    </w:p>
    <w:p w14:paraId="01CE89E1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是否能清楚说明自己的判断依据。</w:t>
      </w:r>
    </w:p>
    <w:p w14:paraId="25A857A2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3.2.5 标志性成果</w:t>
      </w:r>
    </w:p>
    <w:p w14:paraId="5E0D9997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每个团队离场时获得一份“我们如何作出选择”的复盘报告，包含使用过的史料、团队方案、历史事实和现实行动建议。</w:t>
      </w:r>
    </w:p>
    <w:p w14:paraId="4DD5CA0F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3.2.6 最小可行版本</w:t>
      </w:r>
    </w:p>
    <w:p w14:paraId="21290642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优先打造1个20分钟高完成度任务，而不是一次建设13个质量参差的展项。样板通过专家审查和用户测试后，再按统一结构扩展。</w:t>
      </w:r>
    </w:p>
    <w:p w14:paraId="6D66663C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F3.“一物一世界”革命文物数字生命工程</w:t>
      </w:r>
    </w:p>
    <w:p w14:paraId="48003FAD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3.3.1 核心创意</w:t>
      </w:r>
    </w:p>
    <w:p w14:paraId="51A5B83B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每件重要文物不再只有一段展签，而是形成一个可持续生长的“证据世界”。观众可以从一件实物进入人物、事件、地点、文献和当代意义的关联网络。</w:t>
      </w:r>
    </w:p>
    <w:p w14:paraId="2EFCCDD3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3.3.2 五层数字内容结构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2"/>
        <w:gridCol w:w="4802"/>
      </w:tblGrid>
      <w:tr w14:paraId="0E7407F1">
        <w:trPr>
          <w:cantSplit/>
          <w:tblHeader/>
        </w:trPr>
        <w:tc>
          <w:tcPr>
            <w:tcW w:w="2246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4A2FC1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层级</w:t>
            </w:r>
          </w:p>
        </w:tc>
        <w:tc>
          <w:tcPr>
            <w:tcW w:w="7114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24E57E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内容</w:t>
            </w:r>
          </w:p>
        </w:tc>
      </w:tr>
      <w:tr w14:paraId="15E2C8EC">
        <w:trPr>
          <w:cantSplit/>
        </w:trPr>
        <w:tc>
          <w:tcPr>
            <w:tcW w:w="224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2B638D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第一层：看见</w:t>
            </w:r>
          </w:p>
        </w:tc>
        <w:tc>
          <w:tcPr>
            <w:tcW w:w="711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E807CD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文物高清图像、3D模型、材质与细节</w:t>
            </w:r>
          </w:p>
        </w:tc>
      </w:tr>
      <w:tr w14:paraId="48B19157">
        <w:trPr>
          <w:cantSplit/>
        </w:trPr>
        <w:tc>
          <w:tcPr>
            <w:tcW w:w="2246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9B27E3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第二层：知道</w:t>
            </w:r>
          </w:p>
        </w:tc>
        <w:tc>
          <w:tcPr>
            <w:tcW w:w="711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0D29D0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名称、年代、来源、用途、保存状况</w:t>
            </w:r>
          </w:p>
        </w:tc>
      </w:tr>
      <w:tr w14:paraId="3022EECC">
        <w:trPr>
          <w:cantSplit/>
        </w:trPr>
        <w:tc>
          <w:tcPr>
            <w:tcW w:w="224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3B6232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第三层：理解</w:t>
            </w:r>
          </w:p>
        </w:tc>
        <w:tc>
          <w:tcPr>
            <w:tcW w:w="711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E85E33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关联人物、事件、地点、文献和历史背景</w:t>
            </w:r>
          </w:p>
        </w:tc>
      </w:tr>
      <w:tr w14:paraId="0CF687A9">
        <w:trPr>
          <w:cantSplit/>
        </w:trPr>
        <w:tc>
          <w:tcPr>
            <w:tcW w:w="2246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368C7F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第四层：研究</w:t>
            </w:r>
          </w:p>
        </w:tc>
        <w:tc>
          <w:tcPr>
            <w:tcW w:w="711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BC9E3C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原始档案、专家解读、争议说明、引用方式</w:t>
            </w:r>
          </w:p>
        </w:tc>
      </w:tr>
      <w:tr w14:paraId="61988FC7">
        <w:trPr>
          <w:cantSplit/>
        </w:trPr>
        <w:tc>
          <w:tcPr>
            <w:tcW w:w="224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2FB43BF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第五层：连接</w:t>
            </w:r>
          </w:p>
        </w:tc>
        <w:tc>
          <w:tcPr>
            <w:tcW w:w="711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C42DCE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对应课程、情境任务、青年创作和当代实践</w:t>
            </w:r>
          </w:p>
        </w:tc>
      </w:tr>
    </w:tbl>
    <w:p w14:paraId="3BFD348A">
      <w:pPr>
        <w:spacing w:after="20"/>
        <w:rPr>
          <w:rFonts w:hint="eastAsia" w:ascii="仿宋" w:hAnsi="仿宋" w:eastAsia="仿宋" w:cs="仿宋"/>
          <w:sz w:val="22"/>
          <w:szCs w:val="24"/>
        </w:rPr>
      </w:pPr>
    </w:p>
    <w:p w14:paraId="3E43CC34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3.3.3 创新体验</w:t>
      </w:r>
    </w:p>
    <w:p w14:paraId="41F41FBF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手机或展厅终端扫描文物标识，打开“文物关系星图”；</w:t>
      </w:r>
    </w:p>
    <w:p w14:paraId="1865F858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通过时间轴查看文物在不同历史节点的故事；</w:t>
      </w:r>
    </w:p>
    <w:p w14:paraId="042FB031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在数字修复工作台观察“原始状态—修复过程—展示版本”；</w:t>
      </w:r>
    </w:p>
    <w:p w14:paraId="3314554E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对推测性复原和已有史实使用不同视觉标识，避免混淆；</w:t>
      </w:r>
    </w:p>
    <w:p w14:paraId="2D48D38D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生成“一物一课”“一物一短片”“一物一研究包”，供学校和全国节点调用。</w:t>
      </w:r>
    </w:p>
    <w:p w14:paraId="4CF85918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3.3.4 长期价值</w:t>
      </w:r>
    </w:p>
    <w:p w14:paraId="3FEA4C5F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文物数字化不再只是保存项目，而成为AI知识引擎、课程研发、云展馆、短视频传播和全国复制的共同内容资产。</w:t>
      </w:r>
    </w:p>
    <w:p w14:paraId="01C1391E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F4.“一人一程”延安精神成长护照</w:t>
      </w:r>
    </w:p>
    <w:p w14:paraId="69CF2C8B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3.4.1 核心创意</w:t>
      </w:r>
    </w:p>
    <w:p w14:paraId="728F7868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把一次参观变成一段有起点、有过程、有行动、有反馈的持续成长旅程。成长护照不是积分游戏，而是用户与项目建立长期关系的主线。</w:t>
      </w:r>
    </w:p>
    <w:p w14:paraId="7E532CE6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3.4.2 四阶段旅程</w:t>
      </w:r>
    </w:p>
    <w:p w14:paraId="57707BC7">
      <w:pPr>
        <w:pStyle w:val="6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参观前：带着一个问题来</w:t>
      </w:r>
    </w:p>
    <w:p w14:paraId="4B2648B2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根据人群提供适龄导学材料；</w:t>
      </w:r>
    </w:p>
    <w:p w14:paraId="59086B6E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用户选择一个最想理解的问题；</w:t>
      </w:r>
    </w:p>
    <w:p w14:paraId="335A0AFD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学校或单位可以创建团队学习目标；</w:t>
      </w:r>
    </w:p>
    <w:p w14:paraId="36A10A52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系统生成参观建议，不采集与学习无关的信息。</w:t>
      </w:r>
    </w:p>
    <w:p w14:paraId="2ADAC7A9">
      <w:pPr>
        <w:pStyle w:val="6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参观中：完成一条证据路径</w:t>
      </w:r>
    </w:p>
    <w:p w14:paraId="2A8554EA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记录看过的关键史料和文物；</w:t>
      </w:r>
    </w:p>
    <w:p w14:paraId="5314D521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完成一个协作任务；</w:t>
      </w:r>
    </w:p>
    <w:p w14:paraId="05BFA928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向可信AI提出至少一个问题；</w:t>
      </w:r>
    </w:p>
    <w:p w14:paraId="29C88AD0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形成一段自己的理解表达。</w:t>
      </w:r>
    </w:p>
    <w:p w14:paraId="56635BE7">
      <w:pPr>
        <w:pStyle w:val="6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离馆时：带走一个行动</w:t>
      </w:r>
    </w:p>
    <w:p w14:paraId="2EA5660E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不是生成空泛感言，而是选择一个现实、可完成的微行动；</w:t>
      </w:r>
    </w:p>
    <w:p w14:paraId="7781F167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形成“给未来的一封信”或团队行动卡；</w:t>
      </w:r>
    </w:p>
    <w:p w14:paraId="2EF476C7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所有AI辅助文案明确标注为辅助生成，不模拟历史人物写信。</w:t>
      </w:r>
    </w:p>
    <w:p w14:paraId="3348A9E7">
      <w:pPr>
        <w:pStyle w:val="6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离馆后：7/30/90天回访</w:t>
      </w:r>
    </w:p>
    <w:p w14:paraId="061E59EB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第7天：回顾一份史料或课程；</w:t>
      </w:r>
    </w:p>
    <w:p w14:paraId="4F008F93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第30天：反馈行动进展；</w:t>
      </w:r>
    </w:p>
    <w:p w14:paraId="0DDC51E0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第90天：提交作品、实践记录或团队复盘；</w:t>
      </w:r>
    </w:p>
    <w:p w14:paraId="50636E68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推荐下一场线上课程、临展或共同创作活动。</w:t>
      </w:r>
    </w:p>
    <w:p w14:paraId="01BE4F44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3.4.3 分众护照形态</w:t>
      </w:r>
    </w:p>
    <w:p w14:paraId="385A024B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青少年成长册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：以观察、协作、表达和实践为主；</w:t>
      </w:r>
    </w:p>
    <w:p w14:paraId="2FFC0EA4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党员学习档案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：以课程、研讨、行动和复盘为主；</w:t>
      </w:r>
    </w:p>
    <w:p w14:paraId="2E16B54E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港澳青年同行册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：以双语内容、共同创作和跨境交流为主；</w:t>
      </w:r>
    </w:p>
    <w:p w14:paraId="497D44F3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研究者专题档案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：以史料检索、注释和研究成果为主。</w:t>
      </w:r>
    </w:p>
    <w:p w14:paraId="116CDAD7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3.4.4 数据边界</w:t>
      </w:r>
    </w:p>
    <w:p w14:paraId="067282AD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不建立个人思想倾向标签；</w:t>
      </w:r>
    </w:p>
    <w:p w14:paraId="4FF815E9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不依据人脸、情绪或非主动信息推断用户态度；</w:t>
      </w:r>
    </w:p>
    <w:p w14:paraId="43AC0B4B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未成年人采用最小化采集和监护人授权；</w:t>
      </w:r>
    </w:p>
    <w:p w14:paraId="2DF63D8B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对外报告只使用匿名、汇总的教育效果数据。</w:t>
      </w:r>
    </w:p>
    <w:p w14:paraId="3B8ABBF2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F5.“永不闭馆”云上学习共同体</w:t>
      </w:r>
    </w:p>
    <w:p w14:paraId="2FBCD3E3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3.5.1 核心创意</w:t>
      </w:r>
    </w:p>
    <w:p w14:paraId="252C95C4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云展馆不应只是把线下场馆1:1复制到网页中。纯粹复刻容易变成低频、低互动的虚拟空城。</w:t>
      </w:r>
    </w:p>
    <w:p w14:paraId="7655FAD4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建议建设“数字原生”云上学习共同体：把线上最擅长的检索、协作、直播、连续学习和跨地域连接做深，把线下不可替代的实物和空间体验留在线下。</w:t>
      </w:r>
    </w:p>
    <w:p w14:paraId="452AEED7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3.5.2 五种线上模式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2"/>
        <w:gridCol w:w="3202"/>
        <w:gridCol w:w="3202"/>
      </w:tblGrid>
      <w:tr w14:paraId="1501C809">
        <w:trPr>
          <w:cantSplit/>
          <w:tblHeader/>
        </w:trPr>
        <w:tc>
          <w:tcPr>
            <w:tcW w:w="2184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E92FED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模式</w:t>
            </w:r>
          </w:p>
        </w:tc>
        <w:tc>
          <w:tcPr>
            <w:tcW w:w="2184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D98C2E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建议时长</w:t>
            </w:r>
          </w:p>
        </w:tc>
        <w:tc>
          <w:tcPr>
            <w:tcW w:w="4992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66474B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适用场景</w:t>
            </w:r>
          </w:p>
        </w:tc>
      </w:tr>
      <w:tr w14:paraId="2CC77B9B">
        <w:trPr>
          <w:cantSplit/>
        </w:trPr>
        <w:tc>
          <w:tcPr>
            <w:tcW w:w="21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AFDF5A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8分钟精华模式</w:t>
            </w:r>
          </w:p>
        </w:tc>
        <w:tc>
          <w:tcPr>
            <w:tcW w:w="21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CC62C4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8分钟</w:t>
            </w:r>
          </w:p>
        </w:tc>
        <w:tc>
          <w:tcPr>
            <w:tcW w:w="499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CEF7EA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大众初次触达、社交传播入口</w:t>
            </w:r>
          </w:p>
        </w:tc>
      </w:tr>
      <w:tr w14:paraId="5D2BFBC5">
        <w:trPr>
          <w:cantSplit/>
        </w:trPr>
        <w:tc>
          <w:tcPr>
            <w:tcW w:w="218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C70B75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一节课模式</w:t>
            </w:r>
          </w:p>
        </w:tc>
        <w:tc>
          <w:tcPr>
            <w:tcW w:w="218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4C5C95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40—45分钟</w:t>
            </w:r>
          </w:p>
        </w:tc>
        <w:tc>
          <w:tcPr>
            <w:tcW w:w="499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42A411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学校课堂、主题党课、远程研学</w:t>
            </w:r>
          </w:p>
        </w:tc>
      </w:tr>
      <w:tr w14:paraId="1DD0C9C9">
        <w:trPr>
          <w:cantSplit/>
        </w:trPr>
        <w:tc>
          <w:tcPr>
            <w:tcW w:w="21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176B05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协作任务模式</w:t>
            </w:r>
          </w:p>
        </w:tc>
        <w:tc>
          <w:tcPr>
            <w:tcW w:w="21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CE451E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30—90分钟</w:t>
            </w:r>
          </w:p>
        </w:tc>
        <w:tc>
          <w:tcPr>
            <w:tcW w:w="499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423B59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粤港澳三地同堂、跨校团队任务</w:t>
            </w:r>
          </w:p>
        </w:tc>
      </w:tr>
      <w:tr w14:paraId="21B707A4">
        <w:trPr>
          <w:cantSplit/>
        </w:trPr>
        <w:tc>
          <w:tcPr>
            <w:tcW w:w="218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B2D26F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深度研究模式</w:t>
            </w:r>
          </w:p>
        </w:tc>
        <w:tc>
          <w:tcPr>
            <w:tcW w:w="218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5796FC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自主</w:t>
            </w:r>
          </w:p>
        </w:tc>
        <w:tc>
          <w:tcPr>
            <w:tcW w:w="499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7AD04A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教师、专家、大学生查询文献与文物</w:t>
            </w:r>
          </w:p>
        </w:tc>
      </w:tr>
      <w:tr w14:paraId="717BC65D">
        <w:trPr>
          <w:cantSplit/>
        </w:trPr>
        <w:tc>
          <w:tcPr>
            <w:tcW w:w="21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9FA7B0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同步在场模式</w:t>
            </w:r>
          </w:p>
        </w:tc>
        <w:tc>
          <w:tcPr>
            <w:tcW w:w="218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678791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活动时段</w:t>
            </w:r>
          </w:p>
        </w:tc>
        <w:tc>
          <w:tcPr>
            <w:tcW w:w="499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F5D73A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云端演播、论坛、沙龙、纪念活动</w:t>
            </w:r>
          </w:p>
        </w:tc>
      </w:tr>
    </w:tbl>
    <w:p w14:paraId="28F53686">
      <w:pPr>
        <w:spacing w:after="20"/>
        <w:rPr>
          <w:rFonts w:hint="eastAsia" w:ascii="仿宋" w:hAnsi="仿宋" w:eastAsia="仿宋" w:cs="仿宋"/>
          <w:sz w:val="22"/>
          <w:szCs w:val="24"/>
        </w:rPr>
      </w:pPr>
    </w:p>
    <w:p w14:paraId="4401D125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3.5.3 关键功能</w:t>
      </w:r>
    </w:p>
    <w:p w14:paraId="1DA1BBB0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云上课程、文物关系图谱、情境任务和AI问答；</w:t>
      </w:r>
    </w:p>
    <w:p w14:paraId="78E257ED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粤港澳三地“同上一堂课、同做一个任务”；</w:t>
      </w:r>
    </w:p>
    <w:p w14:paraId="29E62E67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线上用户可为线下展览提出问题和贡献经过审核的作品；</w:t>
      </w:r>
    </w:p>
    <w:p w14:paraId="58723579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线下参观记录自动衔接线上成长护照；</w:t>
      </w:r>
    </w:p>
    <w:p w14:paraId="195318AD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全国节点共享直播、课程和临展内容；</w:t>
      </w:r>
    </w:p>
    <w:p w14:paraId="1DB291A4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提供低配置设备可访问的轻量模式，避免只服务高端设备。</w:t>
      </w:r>
    </w:p>
    <w:p w14:paraId="63E16B18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F6.“湾区青年共创计划”</w:t>
      </w:r>
    </w:p>
    <w:p w14:paraId="7B006C34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3.6.1 核心创意</w:t>
      </w:r>
    </w:p>
    <w:p w14:paraId="2989411C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对港澳青年和大湾区青年，不仅“向他们讲”，更邀请他们在权威史料和专业指导下成为共同策展人、共同创作者和同伴讲述者。</w:t>
      </w:r>
    </w:p>
    <w:p w14:paraId="57F4AD71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从单向教育转向“共同发现—共同研究—共同表达—共同传播”。</w:t>
      </w:r>
    </w:p>
    <w:p w14:paraId="5444CB8B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3.6.2 年度共创机制</w:t>
      </w:r>
    </w:p>
    <w:p w14:paraId="5EA24BFA">
      <w:pPr>
        <w:pStyle w:val="14"/>
        <w:numPr>
          <w:numId w:val="10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每年发布一个湾区共同主题；</w:t>
      </w:r>
    </w:p>
    <w:p w14:paraId="36C06DBF">
      <w:pPr>
        <w:pStyle w:val="14"/>
        <w:numPr>
          <w:numId w:val="10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组建广东、香港、澳门青年混合小组；</w:t>
      </w:r>
    </w:p>
    <w:p w14:paraId="43E02579">
      <w:pPr>
        <w:pStyle w:val="14"/>
        <w:numPr>
          <w:numId w:val="10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提供文物、档案、口述史和专家工作坊；</w:t>
      </w:r>
    </w:p>
    <w:p w14:paraId="638D1438">
      <w:pPr>
        <w:pStyle w:val="14"/>
        <w:numPr>
          <w:numId w:val="10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创作双语短片、声音档案、互动网页、数字艺术、AI辅助作品或微型展览；</w:t>
      </w:r>
    </w:p>
    <w:p w14:paraId="28CCEC70">
      <w:pPr>
        <w:pStyle w:val="14"/>
        <w:numPr>
          <w:numId w:val="10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经史实、版权和政治合规审核后进入线上专区；</w:t>
      </w:r>
    </w:p>
    <w:p w14:paraId="69920DA7">
      <w:pPr>
        <w:pStyle w:val="14"/>
        <w:numPr>
          <w:numId w:val="10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优秀作品进入线下临展，并由青年本人进行公开讲述。</w:t>
      </w:r>
    </w:p>
    <w:p w14:paraId="0BE934B0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3.6.3 可形成的品牌项目</w:t>
      </w:r>
    </w:p>
    <w:p w14:paraId="0465EEC4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“湾区青年共同策一场展”；</w:t>
      </w:r>
    </w:p>
    <w:p w14:paraId="4CBB1873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“一件文物的双语讲述”；</w:t>
      </w:r>
    </w:p>
    <w:p w14:paraId="19FBC872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“我在湾区理解延安精神”年度影像计划；</w:t>
      </w:r>
    </w:p>
    <w:p w14:paraId="36BA51CE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AI+红色文化创作营；</w:t>
      </w:r>
    </w:p>
    <w:p w14:paraId="173F19B4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非遗太极跨境共创营；</w:t>
      </w:r>
    </w:p>
    <w:p w14:paraId="457DBA8B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湾区青年云端编辑部。</w:t>
      </w:r>
    </w:p>
    <w:p w14:paraId="65B8AD7B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3.6.4 关键原则</w:t>
      </w:r>
    </w:p>
    <w:p w14:paraId="43995CEB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创作自由建立在史实准确、来源清晰、版权合规基础上；</w:t>
      </w:r>
    </w:p>
    <w:p w14:paraId="41A98669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AI作品必须标明使用方式并经过人工审核；</w:t>
      </w:r>
    </w:p>
    <w:p w14:paraId="203E40BD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不把青年共创变成形式化征文，而要让作品真正进入展陈和传播渠道；</w:t>
      </w:r>
    </w:p>
    <w:p w14:paraId="59A9A777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港澳青年效果评估采用自愿、匿名、聚合方式，不做个人认同标签。</w:t>
      </w:r>
    </w:p>
    <w:p w14:paraId="415E6CBF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F7.“把精神带回去”现实行动实验室</w:t>
      </w:r>
    </w:p>
    <w:p w14:paraId="4877C26A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3.7.1 核心创意</w:t>
      </w:r>
    </w:p>
    <w:p w14:paraId="4B396F74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延安精神的真正落点不在展厅内，而在参观者离开之后的工作、学习和社会生活中。因此，场馆最后一个空间不应只是文创商店，而应是“现实行动实验室”。</w:t>
      </w:r>
    </w:p>
    <w:p w14:paraId="46BA5AE2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3.7.2 四类行动方向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2"/>
        <w:gridCol w:w="4802"/>
      </w:tblGrid>
      <w:tr w14:paraId="040C6EAE">
        <w:trPr>
          <w:cantSplit/>
          <w:tblHeader/>
        </w:trPr>
        <w:tc>
          <w:tcPr>
            <w:tcW w:w="2808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A85A09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精神内涵</w:t>
            </w:r>
          </w:p>
        </w:tc>
        <w:tc>
          <w:tcPr>
            <w:tcW w:w="6552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7A03972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可转化行动</w:t>
            </w:r>
          </w:p>
        </w:tc>
      </w:tr>
      <w:tr w14:paraId="6542FAF1">
        <w:trPr>
          <w:cantSplit/>
        </w:trPr>
        <w:tc>
          <w:tcPr>
            <w:tcW w:w="280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FA971D1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实事求是</w:t>
            </w:r>
          </w:p>
        </w:tc>
        <w:tc>
          <w:tcPr>
            <w:tcW w:w="65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47F857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调查研究、事实核验、问题诊断、田野观察</w:t>
            </w:r>
          </w:p>
        </w:tc>
      </w:tr>
      <w:tr w14:paraId="14246A01">
        <w:trPr>
          <w:cantSplit/>
        </w:trPr>
        <w:tc>
          <w:tcPr>
            <w:tcW w:w="280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0E07A5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为人民服务</w:t>
            </w:r>
          </w:p>
        </w:tc>
        <w:tc>
          <w:tcPr>
            <w:tcW w:w="655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D9BA8C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社区服务、志愿行动、适老助残、公共服务改善</w:t>
            </w:r>
          </w:p>
        </w:tc>
      </w:tr>
      <w:tr w14:paraId="106E567B">
        <w:trPr>
          <w:cantSplit/>
        </w:trPr>
        <w:tc>
          <w:tcPr>
            <w:tcW w:w="280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91E946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自力更生、艰苦奋斗</w:t>
            </w:r>
          </w:p>
        </w:tc>
        <w:tc>
          <w:tcPr>
            <w:tcW w:w="65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1FE315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创新实践、资源再利用、团队攻坚、长期训练</w:t>
            </w:r>
          </w:p>
        </w:tc>
      </w:tr>
      <w:tr w14:paraId="3E6A62C7">
        <w:trPr>
          <w:cantSplit/>
        </w:trPr>
        <w:tc>
          <w:tcPr>
            <w:tcW w:w="280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AE2453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坚定正确政治方向</w:t>
            </w:r>
          </w:p>
        </w:tc>
        <w:tc>
          <w:tcPr>
            <w:tcW w:w="655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35C67C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理论学习、历史研究、责任意识与集体行动</w:t>
            </w:r>
          </w:p>
        </w:tc>
      </w:tr>
    </w:tbl>
    <w:p w14:paraId="755B59D9">
      <w:pPr>
        <w:spacing w:after="20"/>
        <w:rPr>
          <w:rFonts w:hint="eastAsia" w:ascii="仿宋" w:hAnsi="仿宋" w:eastAsia="仿宋" w:cs="仿宋"/>
          <w:sz w:val="22"/>
          <w:szCs w:val="24"/>
        </w:rPr>
      </w:pPr>
    </w:p>
    <w:p w14:paraId="65B22917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具体行动项目须由学校、单位、社区或项目运营方审核管理。</w:t>
      </w:r>
    </w:p>
    <w:p w14:paraId="7413F3FB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3.7.3 三种行动产品</w:t>
      </w:r>
    </w:p>
    <w:p w14:paraId="63882A39">
      <w:pPr>
        <w:pStyle w:val="14"/>
        <w:numPr>
          <w:numId w:val="11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个人微行动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：7—30天内可以完成的小任务；</w:t>
      </w:r>
    </w:p>
    <w:p w14:paraId="39F2F4AD">
      <w:pPr>
        <w:pStyle w:val="14"/>
        <w:numPr>
          <w:numId w:val="11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团队实践项目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：学校、党组织、企业团队共同完成的现实问题项目；</w:t>
      </w:r>
    </w:p>
    <w:p w14:paraId="1B7C2E8D">
      <w:pPr>
        <w:pStyle w:val="14"/>
        <w:numPr>
          <w:numId w:val="11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湾区联合行动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：粤港澳青年围绕文化传承、社区服务或数字创作协同完成。</w:t>
      </w:r>
    </w:p>
    <w:p w14:paraId="00A10A32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3.7.4 成果回流</w:t>
      </w:r>
    </w:p>
    <w:p w14:paraId="4FDC54AF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行动结果进入成长护照；</w:t>
      </w:r>
    </w:p>
    <w:p w14:paraId="0423DBBA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典型项目经审核后进入“行动成果墙”；</w:t>
      </w:r>
    </w:p>
    <w:p w14:paraId="376532DD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优秀实践转化为下一年度课程案例；</w:t>
      </w:r>
    </w:p>
    <w:p w14:paraId="3C5C2FA6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形成“展览启发行动、行动反哺展览”的内容生长机制。</w:t>
      </w:r>
    </w:p>
    <w:p w14:paraId="019CCDD0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F8.“星火节点”全国复制网络与数字展馆OS</w:t>
      </w:r>
    </w:p>
    <w:p w14:paraId="3E21D51F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3.8.1 核心创意</w:t>
      </w:r>
    </w:p>
    <w:p w14:paraId="7708690D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项目真正的全国示范价值，不是让各地复制13000㎡建筑和整套昂贵设备，而是输出一套可按空间、预算和人群灵活组合的“数字展馆操作系统”。</w:t>
      </w:r>
    </w:p>
    <w:p w14:paraId="61ED2A38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3.8.2 四级节点模式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2"/>
        <w:gridCol w:w="3202"/>
        <w:gridCol w:w="3202"/>
      </w:tblGrid>
      <w:tr w14:paraId="6FA3448E">
        <w:trPr>
          <w:cantSplit/>
          <w:tblHeader/>
        </w:trPr>
        <w:tc>
          <w:tcPr>
            <w:tcW w:w="1365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E570AF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级别</w:t>
            </w:r>
          </w:p>
        </w:tc>
        <w:tc>
          <w:tcPr>
            <w:tcW w:w="3315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550AFA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建议形态</w:t>
            </w:r>
          </w:p>
        </w:tc>
        <w:tc>
          <w:tcPr>
            <w:tcW w:w="4680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392304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主要能力</w:t>
            </w:r>
          </w:p>
        </w:tc>
      </w:tr>
      <w:tr w14:paraId="5AFA39BD">
        <w:trPr>
          <w:cantSplit/>
        </w:trPr>
        <w:tc>
          <w:tcPr>
            <w:tcW w:w="136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737707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L1 微节点</w:t>
            </w:r>
          </w:p>
        </w:tc>
        <w:tc>
          <w:tcPr>
            <w:tcW w:w="331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ADCB65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学校、社区、党群服务中心的小型空间</w:t>
            </w:r>
          </w:p>
        </w:tc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30D275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一块屏、一套课程、一个AI入口、若干移动展具</w:t>
            </w:r>
          </w:p>
        </w:tc>
      </w:tr>
      <w:tr w14:paraId="041B7B98">
        <w:trPr>
          <w:cantSplit/>
        </w:trPr>
        <w:tc>
          <w:tcPr>
            <w:tcW w:w="136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9D6438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L2 标准节点</w:t>
            </w:r>
          </w:p>
        </w:tc>
        <w:tc>
          <w:tcPr>
            <w:tcW w:w="331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A12AD0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院校、企事业单位、区县教育基地</w:t>
            </w:r>
          </w:p>
        </w:tc>
        <w:tc>
          <w:tcPr>
            <w:tcW w:w="468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72910D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标准主题展、协作课堂、云端连线、成长护照</w:t>
            </w:r>
          </w:p>
        </w:tc>
      </w:tr>
      <w:tr w14:paraId="71538EFC">
        <w:trPr>
          <w:cantSplit/>
        </w:trPr>
        <w:tc>
          <w:tcPr>
            <w:tcW w:w="136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B64616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L3 城市节点</w:t>
            </w:r>
          </w:p>
        </w:tc>
        <w:tc>
          <w:tcPr>
            <w:tcW w:w="331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FCA8318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城市级红色教育或文化场馆</w:t>
            </w:r>
          </w:p>
        </w:tc>
        <w:tc>
          <w:tcPr>
            <w:tcW w:w="4680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1AFE3B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本地红色叙事接入、沉浸任务、师资培训、区域运营</w:t>
            </w:r>
          </w:p>
        </w:tc>
      </w:tr>
      <w:tr w14:paraId="40FAE231">
        <w:trPr>
          <w:cantSplit/>
        </w:trPr>
        <w:tc>
          <w:tcPr>
            <w:tcW w:w="136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FFAFC4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L4 旗舰中心</w:t>
            </w:r>
          </w:p>
        </w:tc>
        <w:tc>
          <w:tcPr>
            <w:tcW w:w="331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072AC4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大湾区学习展示中心</w:t>
            </w:r>
          </w:p>
        </w:tc>
        <w:tc>
          <w:tcPr>
            <w:tcW w:w="4680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9162C0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权威内容生产、技术研发、全国调度、师资与标准输出</w:t>
            </w:r>
          </w:p>
        </w:tc>
      </w:tr>
    </w:tbl>
    <w:p w14:paraId="7AC21F7C">
      <w:pPr>
        <w:spacing w:after="20"/>
        <w:rPr>
          <w:rFonts w:hint="eastAsia" w:ascii="仿宋" w:hAnsi="仿宋" w:eastAsia="仿宋" w:cs="仿宋"/>
          <w:sz w:val="22"/>
          <w:szCs w:val="24"/>
        </w:rPr>
      </w:pPr>
    </w:p>
    <w:p w14:paraId="7770C6FE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3.8.3 五类可复制组件包</w:t>
      </w:r>
    </w:p>
    <w:p w14:paraId="08047B09">
      <w:pPr>
        <w:pStyle w:val="14"/>
        <w:numPr>
          <w:numId w:val="12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知识包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：权威史料、知识图谱、双语术语和引用规则；</w:t>
      </w:r>
    </w:p>
    <w:p w14:paraId="36FF4B91">
      <w:pPr>
        <w:pStyle w:val="14"/>
        <w:numPr>
          <w:numId w:val="12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课程包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：党政、学校、港澳青年和大众课程模板；</w:t>
      </w:r>
    </w:p>
    <w:p w14:paraId="54AF9828">
      <w:pPr>
        <w:pStyle w:val="14"/>
        <w:numPr>
          <w:numId w:val="12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体验包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：情境任务、数字文物、互动脚本、灯光声音控制协议；</w:t>
      </w:r>
    </w:p>
    <w:p w14:paraId="6172B7BE">
      <w:pPr>
        <w:pStyle w:val="14"/>
        <w:numPr>
          <w:numId w:val="12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运营包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：预约、客流、安全、讲解、师资、活动和评估SOP；</w:t>
      </w:r>
    </w:p>
    <w:p w14:paraId="10EEED6F">
      <w:pPr>
        <w:pStyle w:val="14"/>
        <w:numPr>
          <w:numId w:val="12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技术包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：标准API、设备适配、数据字典、部署模板和安全规范。</w:t>
      </w:r>
    </w:p>
    <w:p w14:paraId="4B85F4CA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3.8.4 全国协同方式</w:t>
      </w:r>
    </w:p>
    <w:p w14:paraId="73AEA61A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总馆统一发布权威内容版本；</w:t>
      </w:r>
    </w:p>
    <w:p w14:paraId="3B693D7A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地方节点可在规范内增加本地红色叙事；</w:t>
      </w:r>
    </w:p>
    <w:p w14:paraId="66FF35FA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所有地方内容经过本地审核和总馆规则校验；</w:t>
      </w:r>
    </w:p>
    <w:p w14:paraId="7C961A4A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总馆可发起全国同课、同展、同任务和师资研修；</w:t>
      </w:r>
    </w:p>
    <w:p w14:paraId="19D285AB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节点运营数据只按授权和必要范围汇总；</w:t>
      </w:r>
    </w:p>
    <w:p w14:paraId="34F4DC11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通过节点效果比较持续优化课程与产品，而不是简单比较客流排名。</w:t>
      </w:r>
    </w:p>
    <w:p w14:paraId="7E0376C1">
      <w:pPr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2"/>
          <w:szCs w:val="24"/>
        </w:rPr>
        <w:br w:type="page"/>
      </w:r>
    </w:p>
    <w:p w14:paraId="02F9BFE7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36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6"/>
          <w:szCs w:val="32"/>
        </w:rPr>
        <w:t>四、可信AI不是一个展项，而是全馆公共能力</w:t>
      </w:r>
    </w:p>
    <w:p w14:paraId="6889EABE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4.1 定位</w:t>
      </w:r>
    </w:p>
    <w:p w14:paraId="1DD141CD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AI不宜被设计成单一的“数字人讲解屏”，而应作为全馆的可信知识与叙事公共能力，服务展览、课程、导览、研究、共创、审核和运营。</w:t>
      </w:r>
    </w:p>
    <w:p w14:paraId="2E02B25D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4.2 四种AI角色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2"/>
        <w:gridCol w:w="4802"/>
      </w:tblGrid>
      <w:tr w14:paraId="32D6E3AC">
        <w:trPr>
          <w:cantSplit/>
          <w:tblHeader/>
        </w:trPr>
        <w:tc>
          <w:tcPr>
            <w:tcW w:w="2139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A37A1B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AI角色</w:t>
            </w:r>
          </w:p>
        </w:tc>
        <w:tc>
          <w:tcPr>
            <w:tcW w:w="7221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85B45E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核心职责</w:t>
            </w:r>
          </w:p>
        </w:tc>
      </w:tr>
      <w:tr w14:paraId="3BE2CB80">
        <w:trPr>
          <w:cantSplit/>
        </w:trPr>
        <w:tc>
          <w:tcPr>
            <w:tcW w:w="213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7BE9DD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0"/>
                <w:szCs w:val="24"/>
              </w:rPr>
              <w:t>可信馆员</w:t>
            </w:r>
          </w:p>
        </w:tc>
        <w:tc>
          <w:tcPr>
            <w:tcW w:w="722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BC9BAA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回答问题、引用来源、说明不确定性、推荐相关文物与课程</w:t>
            </w:r>
          </w:p>
        </w:tc>
      </w:tr>
      <w:tr w14:paraId="42FCE8B4">
        <w:trPr>
          <w:cantSplit/>
        </w:trPr>
        <w:tc>
          <w:tcPr>
            <w:tcW w:w="213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FAEA0A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0"/>
                <w:szCs w:val="24"/>
              </w:rPr>
              <w:t>学习教练</w:t>
            </w:r>
          </w:p>
        </w:tc>
        <w:tc>
          <w:tcPr>
            <w:tcW w:w="722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A98D3B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根据年龄和任务进行追问、提示和复盘，不直接代替用户思考</w:t>
            </w:r>
          </w:p>
        </w:tc>
      </w:tr>
      <w:tr w14:paraId="253CA0F6">
        <w:trPr>
          <w:cantSplit/>
        </w:trPr>
        <w:tc>
          <w:tcPr>
            <w:tcW w:w="213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2BA50D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0"/>
                <w:szCs w:val="24"/>
              </w:rPr>
              <w:t>策展助手</w:t>
            </w:r>
          </w:p>
        </w:tc>
        <w:tc>
          <w:tcPr>
            <w:tcW w:w="722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687575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帮助工作人员检索素材、组合已审内容、检查版本和引用</w:t>
            </w:r>
          </w:p>
        </w:tc>
      </w:tr>
      <w:tr w14:paraId="3D450595">
        <w:trPr>
          <w:cantSplit/>
        </w:trPr>
        <w:tc>
          <w:tcPr>
            <w:tcW w:w="213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5694B0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0"/>
                <w:szCs w:val="24"/>
              </w:rPr>
              <w:t>编审助手</w:t>
            </w:r>
          </w:p>
        </w:tc>
        <w:tc>
          <w:tcPr>
            <w:tcW w:w="7221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E8950D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发现事实冲突、缺失来源、表述风险，提交人工审核</w:t>
            </w:r>
          </w:p>
        </w:tc>
      </w:tr>
    </w:tbl>
    <w:p w14:paraId="74CDBEDC">
      <w:pPr>
        <w:spacing w:after="20"/>
        <w:rPr>
          <w:rFonts w:hint="eastAsia" w:ascii="仿宋" w:hAnsi="仿宋" w:eastAsia="仿宋" w:cs="仿宋"/>
          <w:sz w:val="22"/>
          <w:szCs w:val="24"/>
        </w:rPr>
      </w:pPr>
    </w:p>
    <w:p w14:paraId="4A964B9B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4.3 必须遵守的边界</w:t>
      </w:r>
    </w:p>
    <w:p w14:paraId="1B14A7B1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AI回答默认附权威来源；</w:t>
      </w:r>
    </w:p>
    <w:p w14:paraId="1BBE0121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找不到可靠依据时明确回答“不确定”或转交人工；</w:t>
      </w:r>
    </w:p>
    <w:p w14:paraId="4FCC1E99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不让未经审核的生成内容直接上大屏或进入正式课程；</w:t>
      </w:r>
    </w:p>
    <w:p w14:paraId="498B4E5C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不模拟革命领袖或历史人物发表未有史料依据的新言论；</w:t>
      </w:r>
    </w:p>
    <w:p w14:paraId="44E09025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数字角色和合成内容均明确标识；</w:t>
      </w:r>
    </w:p>
    <w:p w14:paraId="237E51E0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核心政治和史实内容坚持专家终审；</w:t>
      </w:r>
    </w:p>
    <w:p w14:paraId="61B1F5AF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记录版本、来源、模型和审核过程，支持全过程追溯。</w:t>
      </w:r>
    </w:p>
    <w:p w14:paraId="1B471B86">
      <w:pPr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2"/>
          <w:szCs w:val="24"/>
        </w:rPr>
        <w:br w:type="page"/>
      </w:r>
    </w:p>
    <w:p w14:paraId="1E702DF8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36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6"/>
          <w:szCs w:val="32"/>
        </w:rPr>
        <w:t>五、六类人群的完整体验旅程</w:t>
      </w:r>
    </w:p>
    <w:p w14:paraId="1CAC37B0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5.1 体验设计原则</w:t>
      </w:r>
    </w:p>
    <w:p w14:paraId="42DB6F8C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每类人群都应形成“来之前—在馆中—离馆时—回去后”四段式旅程，而不是只设计馆内动线。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1921"/>
        <w:gridCol w:w="1921"/>
        <w:gridCol w:w="1921"/>
        <w:gridCol w:w="1921"/>
      </w:tblGrid>
      <w:tr w14:paraId="1F29570A">
        <w:trPr>
          <w:cantSplit/>
          <w:tblHeader/>
        </w:trPr>
        <w:tc>
          <w:tcPr>
            <w:tcW w:w="968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7A7375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人群</w:t>
            </w:r>
          </w:p>
        </w:tc>
        <w:tc>
          <w:tcPr>
            <w:tcW w:w="1613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6EA38D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来之前</w:t>
            </w:r>
          </w:p>
        </w:tc>
        <w:tc>
          <w:tcPr>
            <w:tcW w:w="2582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2391B0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在馆中</w:t>
            </w:r>
          </w:p>
        </w:tc>
        <w:tc>
          <w:tcPr>
            <w:tcW w:w="1452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A9A3FD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离馆时</w:t>
            </w:r>
          </w:p>
        </w:tc>
        <w:tc>
          <w:tcPr>
            <w:tcW w:w="2745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AC1597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回去后</w:t>
            </w:r>
          </w:p>
        </w:tc>
      </w:tr>
      <w:tr w14:paraId="65921A4E">
        <w:trPr>
          <w:cantSplit/>
        </w:trPr>
        <w:tc>
          <w:tcPr>
            <w:tcW w:w="9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0C66CC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党政干部</w:t>
            </w:r>
          </w:p>
        </w:tc>
        <w:tc>
          <w:tcPr>
            <w:tcW w:w="16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F079FF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导学、问题征集</w:t>
            </w:r>
          </w:p>
        </w:tc>
        <w:tc>
          <w:tcPr>
            <w:tcW w:w="258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028E8B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史料研读、情境决策、专题研讨</w:t>
            </w:r>
          </w:p>
        </w:tc>
        <w:tc>
          <w:tcPr>
            <w:tcW w:w="14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35A65F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形成岗位行动卡</w:t>
            </w:r>
          </w:p>
        </w:tc>
        <w:tc>
          <w:tcPr>
            <w:tcW w:w="274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B95304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30/90天实践复盘，沉淀组织案例</w:t>
            </w:r>
          </w:p>
        </w:tc>
      </w:tr>
      <w:tr w14:paraId="5A5C49C5">
        <w:trPr>
          <w:cantSplit/>
        </w:trPr>
        <w:tc>
          <w:tcPr>
            <w:tcW w:w="96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CCA4A5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小学生</w:t>
            </w:r>
          </w:p>
        </w:tc>
        <w:tc>
          <w:tcPr>
            <w:tcW w:w="1613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6C9E66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故事预告、观察任务</w:t>
            </w:r>
          </w:p>
        </w:tc>
        <w:tc>
          <w:tcPr>
            <w:tcW w:w="258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31BCFC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寻找文物线索、协作体验、手工表达</w:t>
            </w:r>
          </w:p>
        </w:tc>
        <w:tc>
          <w:tcPr>
            <w:tcW w:w="145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B1B9B9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完成成长册</w:t>
            </w:r>
          </w:p>
        </w:tc>
        <w:tc>
          <w:tcPr>
            <w:tcW w:w="274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E712E1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家校共同完成一个微行动</w:t>
            </w:r>
          </w:p>
        </w:tc>
      </w:tr>
      <w:tr w14:paraId="33AFEC9D">
        <w:trPr>
          <w:cantSplit/>
        </w:trPr>
        <w:tc>
          <w:tcPr>
            <w:tcW w:w="9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F26EE6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中学生</w:t>
            </w:r>
          </w:p>
        </w:tc>
        <w:tc>
          <w:tcPr>
            <w:tcW w:w="16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CADC22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时间轴预习</w:t>
            </w:r>
          </w:p>
        </w:tc>
        <w:tc>
          <w:tcPr>
            <w:tcW w:w="258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8DC87F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证据推理、十三问任务、历史复盘</w:t>
            </w:r>
          </w:p>
        </w:tc>
        <w:tc>
          <w:tcPr>
            <w:tcW w:w="14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FBD80B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输出观点与依据</w:t>
            </w:r>
          </w:p>
        </w:tc>
        <w:tc>
          <w:tcPr>
            <w:tcW w:w="274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9D04C6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完成研究性学习或社会实践</w:t>
            </w:r>
          </w:p>
        </w:tc>
      </w:tr>
      <w:tr w14:paraId="6182FB8F">
        <w:trPr>
          <w:cantSplit/>
        </w:trPr>
        <w:tc>
          <w:tcPr>
            <w:tcW w:w="96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CDE325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高校学生</w:t>
            </w:r>
          </w:p>
        </w:tc>
        <w:tc>
          <w:tcPr>
            <w:tcW w:w="1613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0C2CA5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选题与资料预检</w:t>
            </w:r>
          </w:p>
        </w:tc>
        <w:tc>
          <w:tcPr>
            <w:tcW w:w="258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5C98699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文献检索、专题研讨、数字创作</w:t>
            </w:r>
          </w:p>
        </w:tc>
        <w:tc>
          <w:tcPr>
            <w:tcW w:w="145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B21772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形成课题或作品方案</w:t>
            </w:r>
          </w:p>
        </w:tc>
        <w:tc>
          <w:tcPr>
            <w:tcW w:w="274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8C97DA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进入青年共创计划或研究项目</w:t>
            </w:r>
          </w:p>
        </w:tc>
      </w:tr>
      <w:tr w14:paraId="634064F0">
        <w:trPr>
          <w:cantSplit/>
        </w:trPr>
        <w:tc>
          <w:tcPr>
            <w:tcW w:w="96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F505A1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港澳青年</w:t>
            </w:r>
          </w:p>
        </w:tc>
        <w:tc>
          <w:tcPr>
            <w:tcW w:w="161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EEE2CD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繁简英导学、行程协同</w:t>
            </w:r>
          </w:p>
        </w:tc>
        <w:tc>
          <w:tcPr>
            <w:tcW w:w="258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AEB716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共同历史、湾区叙事、混合小组任务</w:t>
            </w:r>
          </w:p>
        </w:tc>
        <w:tc>
          <w:tcPr>
            <w:tcW w:w="14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8BBB9E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双语作品或联合行动</w:t>
            </w:r>
          </w:p>
        </w:tc>
        <w:tc>
          <w:tcPr>
            <w:tcW w:w="274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89D26C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跨境线上协作、年度回访活动</w:t>
            </w:r>
          </w:p>
        </w:tc>
      </w:tr>
      <w:tr w14:paraId="1D209C2A">
        <w:trPr>
          <w:cantSplit/>
        </w:trPr>
        <w:tc>
          <w:tcPr>
            <w:tcW w:w="968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77335E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大众游客</w:t>
            </w:r>
          </w:p>
        </w:tc>
        <w:tc>
          <w:tcPr>
            <w:tcW w:w="1613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89D782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兴趣和时长选择</w:t>
            </w:r>
          </w:p>
        </w:tc>
        <w:tc>
          <w:tcPr>
            <w:tcW w:w="258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E658DD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精华路线、文物体验、AI问答</w:t>
            </w:r>
          </w:p>
        </w:tc>
        <w:tc>
          <w:tcPr>
            <w:tcW w:w="1452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6B7A53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给未来的一封信</w:t>
            </w:r>
          </w:p>
        </w:tc>
        <w:tc>
          <w:tcPr>
            <w:tcW w:w="2745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3B706D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线上精华课、临展提醒、家庭活动</w:t>
            </w:r>
          </w:p>
        </w:tc>
      </w:tr>
    </w:tbl>
    <w:p w14:paraId="3F54D88B">
      <w:pPr>
        <w:spacing w:after="20"/>
        <w:rPr>
          <w:rFonts w:hint="eastAsia" w:ascii="仿宋" w:hAnsi="仿宋" w:eastAsia="仿宋" w:cs="仿宋"/>
          <w:sz w:val="22"/>
          <w:szCs w:val="24"/>
        </w:rPr>
      </w:pPr>
    </w:p>
    <w:p w14:paraId="5B2E0A1E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5.2 建议打造的“完整样板链”</w:t>
      </w:r>
    </w:p>
    <w:p w14:paraId="07806388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一位访客的典型体验应完整串联：</w:t>
      </w:r>
    </w:p>
    <w:p w14:paraId="64204D21">
      <w:pPr>
        <w:keepLines/>
        <w:jc w:val="center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2"/>
          <w:szCs w:val="24"/>
        </w:rPr>
        <w:drawing>
          <wp:inline distT="0" distB="0" distL="114300" distR="114300">
            <wp:extent cx="5166360" cy="4354195"/>
            <wp:effectExtent l="0" t="0" r="15240" b="146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435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39AD8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这条链路比单个VR项目或数字人更能代表项目的独特价值。</w:t>
      </w:r>
    </w:p>
    <w:p w14:paraId="7E670E7E">
      <w:pPr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2"/>
          <w:szCs w:val="24"/>
        </w:rPr>
        <w:br w:type="page"/>
      </w:r>
    </w:p>
    <w:p w14:paraId="0CAEC82E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36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6"/>
          <w:szCs w:val="32"/>
        </w:rPr>
        <w:t>六、对现有八大子系统的创新升级</w:t>
      </w:r>
    </w:p>
    <w:p w14:paraId="13432D45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现有八大子系统继续作为技术底座，但其建设重点应从“功能清单”进一步转向“价值闭环”。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2"/>
        <w:gridCol w:w="3202"/>
        <w:gridCol w:w="3202"/>
      </w:tblGrid>
      <w:tr w14:paraId="5AEF279F">
        <w:trPr>
          <w:cantSplit/>
          <w:tblHeader/>
        </w:trPr>
        <w:tc>
          <w:tcPr>
            <w:tcW w:w="1994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F91C7A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原子系统</w:t>
            </w:r>
          </w:p>
        </w:tc>
        <w:tc>
          <w:tcPr>
            <w:tcW w:w="5677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D356B4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创新升级方向</w:t>
            </w:r>
          </w:p>
        </w:tc>
        <w:tc>
          <w:tcPr>
            <w:tcW w:w="1689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F2E039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主要支撑产品</w:t>
            </w:r>
          </w:p>
        </w:tc>
      </w:tr>
      <w:tr w14:paraId="60F43BB3">
        <w:trPr>
          <w:cantSplit/>
        </w:trPr>
        <w:tc>
          <w:tcPr>
            <w:tcW w:w="19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DE2EF6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S1 AI大模型与知识引擎</w:t>
            </w:r>
          </w:p>
        </w:tc>
        <w:tc>
          <w:tcPr>
            <w:tcW w:w="567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EDA2D1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升级为可信叙事引擎，强化来源引用、不确定性说明、分层表达和全过程审计</w:t>
            </w:r>
          </w:p>
        </w:tc>
        <w:tc>
          <w:tcPr>
            <w:tcW w:w="168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1B281B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F1、F2、F3、F5</w:t>
            </w:r>
          </w:p>
        </w:tc>
      </w:tr>
      <w:tr w14:paraId="1FC5359D">
        <w:trPr>
          <w:cantSplit/>
        </w:trPr>
        <w:tc>
          <w:tcPr>
            <w:tcW w:w="199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5CAFF2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S2 数字展陈与沉浸体验</w:t>
            </w:r>
          </w:p>
        </w:tc>
        <w:tc>
          <w:tcPr>
            <w:tcW w:w="5677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A4199F7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从设备播控升级为全场景体验编排，统一灯光、声音、屏幕、AI、任务与空间节奏</w:t>
            </w:r>
          </w:p>
        </w:tc>
        <w:tc>
          <w:tcPr>
            <w:tcW w:w="168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5B8903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F1、F2</w:t>
            </w:r>
          </w:p>
        </w:tc>
      </w:tr>
      <w:tr w14:paraId="06EB517A">
        <w:trPr>
          <w:cantSplit/>
        </w:trPr>
        <w:tc>
          <w:tcPr>
            <w:tcW w:w="19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B4101D1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S3 智慧场馆运营管理</w:t>
            </w:r>
          </w:p>
        </w:tc>
        <w:tc>
          <w:tcPr>
            <w:tcW w:w="567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5E90B5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从客流安全升级为“客流+教学节奏+体验连续性”协同调度</w:t>
            </w:r>
          </w:p>
        </w:tc>
        <w:tc>
          <w:tcPr>
            <w:tcW w:w="168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F52EF04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F1、F4</w:t>
            </w:r>
          </w:p>
        </w:tc>
      </w:tr>
      <w:tr w14:paraId="01AFE182">
        <w:trPr>
          <w:cantSplit/>
        </w:trPr>
        <w:tc>
          <w:tcPr>
            <w:tcW w:w="199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01D7F9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S4 教研培训管理</w:t>
            </w:r>
          </w:p>
        </w:tc>
        <w:tc>
          <w:tcPr>
            <w:tcW w:w="5677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A49313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从课程排班升级为参观前、中、后完整学习旅程与行动项目管理</w:t>
            </w:r>
          </w:p>
        </w:tc>
        <w:tc>
          <w:tcPr>
            <w:tcW w:w="168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CD75F2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F2、F4、F7</w:t>
            </w:r>
          </w:p>
        </w:tc>
      </w:tr>
      <w:tr w14:paraId="1F22E5F6">
        <w:trPr>
          <w:cantSplit/>
        </w:trPr>
        <w:tc>
          <w:tcPr>
            <w:tcW w:w="19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24B53E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S5 文物数字化管理</w:t>
            </w:r>
          </w:p>
        </w:tc>
        <w:tc>
          <w:tcPr>
            <w:tcW w:w="567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C841FA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从文物建档升级为“一物一世界”的数字内容生产与研究服务</w:t>
            </w:r>
          </w:p>
        </w:tc>
        <w:tc>
          <w:tcPr>
            <w:tcW w:w="168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FD1888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F3、F5</w:t>
            </w:r>
          </w:p>
        </w:tc>
      </w:tr>
      <w:tr w14:paraId="217F60CC">
        <w:trPr>
          <w:cantSplit/>
        </w:trPr>
        <w:tc>
          <w:tcPr>
            <w:tcW w:w="199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6D42A7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S6 港澳青年专项</w:t>
            </w:r>
          </w:p>
        </w:tc>
        <w:tc>
          <w:tcPr>
            <w:tcW w:w="5677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4C3B69D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从双语接待升级为青年共同策展、共同创作和跨境持续协作</w:t>
            </w:r>
          </w:p>
        </w:tc>
        <w:tc>
          <w:tcPr>
            <w:tcW w:w="168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DF506A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F5、F6、F7</w:t>
            </w:r>
          </w:p>
        </w:tc>
      </w:tr>
      <w:tr w14:paraId="4D7AAD6D">
        <w:trPr>
          <w:cantSplit/>
        </w:trPr>
        <w:tc>
          <w:tcPr>
            <w:tcW w:w="199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451F46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S7 内容与IP孵化</w:t>
            </w:r>
          </w:p>
        </w:tc>
        <w:tc>
          <w:tcPr>
            <w:tcW w:w="567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5B8B33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从素材管理升级为模块化内容工厂、审核流水线与多节点分发中心</w:t>
            </w:r>
          </w:p>
        </w:tc>
        <w:tc>
          <w:tcPr>
            <w:tcW w:w="168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B0A1EC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F1、F3、F6、F8</w:t>
            </w:r>
          </w:p>
        </w:tc>
      </w:tr>
      <w:tr w14:paraId="24332280">
        <w:trPr>
          <w:cantSplit/>
        </w:trPr>
        <w:tc>
          <w:tcPr>
            <w:tcW w:w="199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8BB9B4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S8 数据与决策支持</w:t>
            </w:r>
          </w:p>
        </w:tc>
        <w:tc>
          <w:tcPr>
            <w:tcW w:w="5677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5C0E02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从经营看板升级为教育效果、行动转化、内容生命力和复制质量评估</w:t>
            </w:r>
          </w:p>
        </w:tc>
        <w:tc>
          <w:tcPr>
            <w:tcW w:w="1689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891DB0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全部旗舰产品</w:t>
            </w:r>
          </w:p>
        </w:tc>
      </w:tr>
    </w:tbl>
    <w:p w14:paraId="0C9FA5BE">
      <w:pPr>
        <w:spacing w:after="20"/>
        <w:rPr>
          <w:rFonts w:hint="eastAsia" w:ascii="仿宋" w:hAnsi="仿宋" w:eastAsia="仿宋" w:cs="仿宋"/>
          <w:sz w:val="22"/>
          <w:szCs w:val="24"/>
        </w:rPr>
      </w:pPr>
    </w:p>
    <w:p w14:paraId="4EA839B3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6.1 建议新增S9：标准化复制与节点协同子系统</w:t>
      </w:r>
    </w:p>
    <w:p w14:paraId="796B098A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现有方案中“全国复制”主要是S7和S8的附属功能。鉴于它属于终极目标，建议提升为独立子系统。</w:t>
      </w:r>
    </w:p>
    <w:p w14:paraId="20CA345E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S9核心模块</w:t>
      </w:r>
    </w:p>
    <w:p w14:paraId="469CDC1A">
      <w:pPr>
        <w:pStyle w:val="14"/>
        <w:numPr>
          <w:numId w:val="13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内容与课程组件注册中心；</w:t>
      </w:r>
    </w:p>
    <w:p w14:paraId="3AF3BCB3">
      <w:pPr>
        <w:pStyle w:val="14"/>
        <w:numPr>
          <w:numId w:val="13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全国节点档案与权限管理；</w:t>
      </w:r>
    </w:p>
    <w:p w14:paraId="05B6CA6B">
      <w:pPr>
        <w:pStyle w:val="14"/>
        <w:numPr>
          <w:numId w:val="13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版本发布、灰度升级与回滚；</w:t>
      </w:r>
    </w:p>
    <w:p w14:paraId="36E1A7ED">
      <w:pPr>
        <w:pStyle w:val="14"/>
        <w:numPr>
          <w:numId w:val="13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地方内容接入与审核协同；</w:t>
      </w:r>
    </w:p>
    <w:p w14:paraId="3ECC3938">
      <w:pPr>
        <w:pStyle w:val="14"/>
        <w:numPr>
          <w:numId w:val="13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设备适配和标准接口管理；</w:t>
      </w:r>
    </w:p>
    <w:p w14:paraId="61235EBC">
      <w:pPr>
        <w:pStyle w:val="14"/>
        <w:numPr>
          <w:numId w:val="13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远程运维、培训和服务工单；</w:t>
      </w:r>
    </w:p>
    <w:p w14:paraId="779BF84B">
      <w:pPr>
        <w:pStyle w:val="14"/>
        <w:numPr>
          <w:numId w:val="13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节点效果评估与质量认证；</w:t>
      </w:r>
    </w:p>
    <w:p w14:paraId="45D1E51D">
      <w:pPr>
        <w:pStyle w:val="14"/>
        <w:numPr>
          <w:numId w:val="13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解决方案授权和交付管理。</w:t>
      </w:r>
    </w:p>
    <w:p w14:paraId="42391BC4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6.2 建议增加三项跨系统公共能力</w:t>
      </w:r>
    </w:p>
    <w:p w14:paraId="58CFE717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X1 全场景体验编排引擎</w:t>
      </w:r>
    </w:p>
    <w:p w14:paraId="2514BC8D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跨S1、S2、S3、S4和S7，统一管理“什么人、在什么时间、进入什么空间、看到什么内容、完成什么任务、接下来去哪里”。</w:t>
      </w:r>
    </w:p>
    <w:p w14:paraId="0A8AD12C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X2 成长护照与行动档案</w:t>
      </w:r>
    </w:p>
    <w:p w14:paraId="4C950F63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跨S3、S4、S6和S8，保证线上线下、参观前后、个人与团队学习连续。</w:t>
      </w:r>
    </w:p>
    <w:p w14:paraId="685FEF99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X3 权威内容治理中心</w:t>
      </w:r>
    </w:p>
    <w:p w14:paraId="54CFAFE2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跨S1、S5和S7，统一负责史料来源、专家审核、内容版本、AI使用、版权和对外发布。</w:t>
      </w:r>
    </w:p>
    <w:p w14:paraId="63D6434B">
      <w:pPr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2"/>
          <w:szCs w:val="24"/>
        </w:rPr>
        <w:br w:type="page"/>
      </w:r>
    </w:p>
    <w:p w14:paraId="2F71C456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36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6"/>
          <w:szCs w:val="32"/>
        </w:rPr>
        <w:t>七、内容与技术的投资优先级</w:t>
      </w:r>
    </w:p>
    <w:p w14:paraId="5C606061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建议按以下顺序投入，而不是先采购设备再寻找内容：</w:t>
      </w:r>
    </w:p>
    <w:p w14:paraId="1C018484">
      <w:pPr>
        <w:pStyle w:val="14"/>
        <w:numPr>
          <w:numId w:val="14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权威内容与史料体系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；</w:t>
      </w:r>
    </w:p>
    <w:p w14:paraId="44E19B2B">
      <w:pPr>
        <w:pStyle w:val="14"/>
        <w:numPr>
          <w:numId w:val="14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核心学习体验和情境任务原型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；</w:t>
      </w:r>
    </w:p>
    <w:p w14:paraId="77E55612">
      <w:pPr>
        <w:pStyle w:val="14"/>
        <w:numPr>
          <w:numId w:val="14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课程、行动和持续运营机制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；</w:t>
      </w:r>
    </w:p>
    <w:p w14:paraId="1018DB7F">
      <w:pPr>
        <w:pStyle w:val="14"/>
        <w:numPr>
          <w:numId w:val="14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AI、数据和内容公共平台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；</w:t>
      </w:r>
    </w:p>
    <w:p w14:paraId="70D7E4ED">
      <w:pPr>
        <w:pStyle w:val="14"/>
        <w:numPr>
          <w:numId w:val="14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与体验高度匹配的沉浸设备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；</w:t>
      </w:r>
    </w:p>
    <w:p w14:paraId="20D17FC9">
      <w:pPr>
        <w:pStyle w:val="14"/>
        <w:numPr>
          <w:numId w:val="14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大规模复制和节点扩展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。</w:t>
      </w:r>
    </w:p>
    <w:p w14:paraId="3EE6F41C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7.1 不建议优先投入的方向</w:t>
      </w:r>
    </w:p>
    <w:p w14:paraId="039A3B96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大量同质化大屏、数字人和短期炫技设备；</w:t>
      </w:r>
    </w:p>
    <w:p w14:paraId="20DDAA8E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先做完整1:1云端复制，却没有线上原生课程和协作机制；</w:t>
      </w:r>
    </w:p>
    <w:p w14:paraId="0F3043DA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让AI自由生成未经审核的历史讲解；</w:t>
      </w:r>
    </w:p>
    <w:p w14:paraId="2F767C84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只做积分、徽章、排行榜的浅层游戏化；</w:t>
      </w:r>
    </w:p>
    <w:p w14:paraId="1E152A41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用同一套内容覆盖所有年龄和所有群体；</w:t>
      </w:r>
    </w:p>
    <w:p w14:paraId="73F79477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只统计客流、上座率和设备使用率，不评估真实学习效果；</w:t>
      </w:r>
    </w:p>
    <w:p w14:paraId="2508A4F0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形成只能由单一设备厂商维护的封闭系统。</w:t>
      </w:r>
    </w:p>
    <w:p w14:paraId="58969B82">
      <w:pPr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2"/>
          <w:szCs w:val="24"/>
        </w:rPr>
        <w:br w:type="page"/>
      </w:r>
    </w:p>
    <w:p w14:paraId="7F88915C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36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6"/>
          <w:szCs w:val="32"/>
        </w:rPr>
        <w:t>八、分阶段实施建议</w:t>
      </w:r>
    </w:p>
    <w:p w14:paraId="6C5B5A83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8.1 第0阶段：终极目标验证与治理先行（第1—3月）</w:t>
      </w:r>
    </w:p>
    <w:p w14:paraId="268AC7BC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主要任务</w:t>
      </w:r>
    </w:p>
    <w:p w14:paraId="75C9902B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成立党史内容、教育研究、青年共创、技术安全四类工作组；</w:t>
      </w:r>
    </w:p>
    <w:p w14:paraId="4FF8C118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完成权威史料范围、内容审核规则和AI边界；</w:t>
      </w:r>
    </w:p>
    <w:p w14:paraId="6A046087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访谈党政干部、不同学段师生、港澳青年、大众和专家；</w:t>
      </w:r>
    </w:p>
    <w:p w14:paraId="093100E7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定义北极星指标及数据最小化原则；</w:t>
      </w:r>
    </w:p>
    <w:p w14:paraId="15C5AB20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选定一个“十三问”任务、一件核心文物和一条成长旅程作为原型。</w:t>
      </w:r>
    </w:p>
    <w:p w14:paraId="0B1F3E74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阶段成果</w:t>
      </w:r>
    </w:p>
    <w:p w14:paraId="4B314BFE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内容治理手册V1；</w:t>
      </w:r>
    </w:p>
    <w:p w14:paraId="42D15D4A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用户分层与旅程蓝图；</w:t>
      </w:r>
    </w:p>
    <w:p w14:paraId="096B0B48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可信AI回答样板；</w:t>
      </w:r>
    </w:p>
    <w:p w14:paraId="557988F5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20分钟情境任务可测试原型；</w:t>
      </w:r>
    </w:p>
    <w:p w14:paraId="6C4E9A79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成长护照原型。</w:t>
      </w:r>
    </w:p>
    <w:p w14:paraId="628B79A3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8.2 第1阶段：打造最小完整闭环（第4—8月）</w:t>
      </w:r>
    </w:p>
    <w:p w14:paraId="5A0211FF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主要任务</w:t>
      </w:r>
    </w:p>
    <w:p w14:paraId="466EE417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不是同时建设所有功能，而是先打通以下完整链路：</w:t>
      </w:r>
    </w:p>
    <w:p w14:paraId="6B2F45C6">
      <w:pPr>
        <w:keepLines/>
        <w:jc w:val="center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2"/>
          <w:szCs w:val="24"/>
        </w:rPr>
        <w:drawing>
          <wp:inline distT="0" distB="0" distL="114300" distR="114300">
            <wp:extent cx="5166360" cy="3202940"/>
            <wp:effectExtent l="0" t="0" r="15240" b="228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320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86A81">
      <w:pPr>
        <w:pStyle w:val="5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4"/>
          <w:szCs w:val="24"/>
        </w:rPr>
        <w:t>验证重点</w:t>
      </w:r>
    </w:p>
    <w:p w14:paraId="17A5A616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用户是否真正理解，而不是只觉得“科技感强”；</w:t>
      </w:r>
    </w:p>
    <w:p w14:paraId="2A51CF9B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AI引用和回答是否可靠；</w:t>
      </w:r>
    </w:p>
    <w:p w14:paraId="7CF19009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情境任务是否尊重史实且具有参与性；</w:t>
      </w:r>
    </w:p>
    <w:p w14:paraId="5F9EF27F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用户是否愿意在离馆后继续行动；</w:t>
      </w:r>
    </w:p>
    <w:p w14:paraId="2872F245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老师、讲解员和运营人员是否能够稳定执行。</w:t>
      </w:r>
    </w:p>
    <w:p w14:paraId="622F71E2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8.3 第2阶段：扩展为完整旗舰体验（第9—20月）</w:t>
      </w:r>
    </w:p>
    <w:p w14:paraId="39394AB9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扩展4类标准叙事路线；</w:t>
      </w:r>
    </w:p>
    <w:p w14:paraId="0F5AEAA8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逐步建设十三问任务矩阵；</w:t>
      </w:r>
    </w:p>
    <w:p w14:paraId="20692496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完成重点文物“一物一世界”；</w:t>
      </w:r>
    </w:p>
    <w:p w14:paraId="653E5A4D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建设数字原生云上学习共同体；</w:t>
      </w:r>
    </w:p>
    <w:p w14:paraId="011AC8B3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上线湾区青年共创计划；</w:t>
      </w:r>
    </w:p>
    <w:p w14:paraId="02D9D69B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完成体验编排引擎与线下设备集成；</w:t>
      </w:r>
    </w:p>
    <w:p w14:paraId="6B36D6A4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建立正式内容审核和版本发布流程。</w:t>
      </w:r>
    </w:p>
    <w:p w14:paraId="21048B65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8.4 第3阶段：试运营与教育效果验证（第21—26月）</w:t>
      </w:r>
    </w:p>
    <w:p w14:paraId="56FFB4A5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党政、学校、港澳青年、大众四类专场测试；</w:t>
      </w:r>
    </w:p>
    <w:p w14:paraId="15834A5D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对比不同路线和任务的学习效果；</w:t>
      </w:r>
    </w:p>
    <w:p w14:paraId="69E45C2F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观察7/30/90天持续参与情况；</w:t>
      </w:r>
    </w:p>
    <w:p w14:paraId="06BB57B4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验证高峰客流下体验连续性；</w:t>
      </w:r>
    </w:p>
    <w:p w14:paraId="75E494AD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根据真实数据删减低价值展项、加强高价值环节；</w:t>
      </w:r>
    </w:p>
    <w:p w14:paraId="46F1DD69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完成首版全国复制标准。</w:t>
      </w:r>
    </w:p>
    <w:p w14:paraId="4B5025EF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8.5 第4阶段：形成全国复制网络（第27—48月）</w:t>
      </w:r>
    </w:p>
    <w:p w14:paraId="7C0FBF1B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选择学校、党群服务中心和城市场馆各类试点节点；</w:t>
      </w:r>
    </w:p>
    <w:p w14:paraId="23EC9B53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输出五类组件包；</w:t>
      </w:r>
    </w:p>
    <w:p w14:paraId="75AD3A95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上线S9节点协同系统；</w:t>
      </w:r>
    </w:p>
    <w:p w14:paraId="0B7425D7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建立节点质量认证、师资认证和版本升级机制；</w:t>
      </w:r>
    </w:p>
    <w:p w14:paraId="188B4212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以3—5个不同规模节点验证可复制性后再扩大推广。</w:t>
      </w:r>
    </w:p>
    <w:p w14:paraId="316FA4E7">
      <w:pPr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2"/>
          <w:szCs w:val="24"/>
        </w:rPr>
        <w:br w:type="page"/>
      </w:r>
    </w:p>
    <w:p w14:paraId="7FF8F561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36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6"/>
          <w:szCs w:val="32"/>
        </w:rPr>
        <w:t>九、建议首个重点原型</w:t>
      </w:r>
    </w:p>
    <w:p w14:paraId="12B61661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9.1 原型名称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5"/>
      </w:tblGrid>
      <w:tr w14:paraId="627007E3">
        <w:tc>
          <w:tcPr>
            <w:tcW w:w="9360" w:type="dxa"/>
            <w:shd w:val="clear" w:color="auto" w:fill="F7F2EC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4A66D3E9">
            <w:pPr>
              <w:spacing w:after="0" w:line="312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4"/>
                <w:szCs w:val="24"/>
              </w:rPr>
              <w:t>“从一件文物到一次现实行动”完整体验原型</w:t>
            </w:r>
          </w:p>
        </w:tc>
      </w:tr>
    </w:tbl>
    <w:p w14:paraId="09D349E5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9.2 体验组成</w:t>
      </w:r>
    </w:p>
    <w:p w14:paraId="1A941BF6">
      <w:pPr>
        <w:pStyle w:val="14"/>
        <w:numPr>
          <w:numId w:val="15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用户入场前提出一个问题；</w:t>
      </w:r>
    </w:p>
    <w:p w14:paraId="070F7B27">
      <w:pPr>
        <w:pStyle w:val="14"/>
        <w:numPr>
          <w:numId w:val="15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通过一件真实文物进入历史情境；</w:t>
      </w:r>
    </w:p>
    <w:p w14:paraId="739F75B2">
      <w:pPr>
        <w:pStyle w:val="14"/>
        <w:numPr>
          <w:numId w:val="15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团队完成一个15—20分钟证据驱动任务；</w:t>
      </w:r>
    </w:p>
    <w:p w14:paraId="06A87936">
      <w:pPr>
        <w:pStyle w:val="14"/>
        <w:numPr>
          <w:numId w:val="15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可信AI引用史料进行追问和复盘；</w:t>
      </w:r>
    </w:p>
    <w:p w14:paraId="62EE3BAC">
      <w:pPr>
        <w:pStyle w:val="14"/>
        <w:numPr>
          <w:numId w:val="15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用户用自己的话形成理解；</w:t>
      </w:r>
    </w:p>
    <w:p w14:paraId="1F1C21B9">
      <w:pPr>
        <w:pStyle w:val="14"/>
        <w:numPr>
          <w:numId w:val="15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选择一个7—30天现实行动；</w:t>
      </w:r>
    </w:p>
    <w:p w14:paraId="1AC19AC6">
      <w:pPr>
        <w:pStyle w:val="14"/>
        <w:numPr>
          <w:numId w:val="15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通过成长护照完成后续反馈；</w:t>
      </w:r>
    </w:p>
    <w:p w14:paraId="38F2DCD4">
      <w:pPr>
        <w:pStyle w:val="14"/>
        <w:numPr>
          <w:numId w:val="15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行动结果经授权后回流为新的展览案例。</w:t>
      </w:r>
    </w:p>
    <w:p w14:paraId="43648138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9.3 为什么优先做它</w:t>
      </w:r>
    </w:p>
    <w:p w14:paraId="37218F11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该原型一次验证七项最关键能力：</w:t>
      </w:r>
    </w:p>
    <w:p w14:paraId="46D3FB7E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权威史料；</w:t>
      </w:r>
    </w:p>
    <w:p w14:paraId="3E915EBF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文物数字化；</w:t>
      </w:r>
    </w:p>
    <w:p w14:paraId="3D328318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沉浸体验；</w:t>
      </w:r>
    </w:p>
    <w:p w14:paraId="6868D9DA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AI可信问答；</w:t>
      </w:r>
    </w:p>
    <w:p w14:paraId="64F073E2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教育设计；</w:t>
      </w:r>
    </w:p>
    <w:p w14:paraId="659C793E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行动转化；</w:t>
      </w:r>
    </w:p>
    <w:p w14:paraId="540DD64F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线上线下持续运营。</w:t>
      </w:r>
    </w:p>
    <w:p w14:paraId="4C197E76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相比先做大量独立展项，它更能提前发现项目是否真正接近终极目标。</w:t>
      </w:r>
    </w:p>
    <w:p w14:paraId="359C96A0">
      <w:pPr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2"/>
          <w:szCs w:val="24"/>
        </w:rPr>
        <w:br w:type="page"/>
      </w:r>
    </w:p>
    <w:p w14:paraId="5C7521A8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36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6"/>
          <w:szCs w:val="32"/>
        </w:rPr>
        <w:t>十、评价体系</w:t>
      </w:r>
    </w:p>
    <w:p w14:paraId="7A5E6179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10.1 五类核心指标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2"/>
        <w:gridCol w:w="4802"/>
      </w:tblGrid>
      <w:tr w14:paraId="7F1A72F4">
        <w:trPr>
          <w:cantSplit/>
          <w:tblHeader/>
        </w:trPr>
        <w:tc>
          <w:tcPr>
            <w:tcW w:w="1604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30E756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维度</w:t>
            </w:r>
          </w:p>
        </w:tc>
        <w:tc>
          <w:tcPr>
            <w:tcW w:w="7756" w:type="dxa"/>
            <w:shd w:val="clear" w:color="auto" w:fill="9E1B1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075E72">
            <w:pPr>
              <w:spacing w:after="0" w:line="276" w:lineRule="auto"/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FFFF"/>
                <w:sz w:val="20"/>
                <w:szCs w:val="24"/>
              </w:rPr>
              <w:t>指标建议</w:t>
            </w:r>
          </w:p>
        </w:tc>
      </w:tr>
      <w:tr w14:paraId="4B25789F">
        <w:trPr>
          <w:cantSplit/>
        </w:trPr>
        <w:tc>
          <w:tcPr>
            <w:tcW w:w="160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6B956D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权威可信</w:t>
            </w:r>
          </w:p>
        </w:tc>
        <w:tc>
          <w:tcPr>
            <w:tcW w:w="77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0CFE85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核心内容专家审核率、AI回答来源覆盖率、内容纠错闭环时长</w:t>
            </w:r>
          </w:p>
        </w:tc>
      </w:tr>
      <w:tr w14:paraId="1B7B85E3">
        <w:trPr>
          <w:cantSplit/>
        </w:trPr>
        <w:tc>
          <w:tcPr>
            <w:tcW w:w="160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8D5503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深度学习</w:t>
            </w:r>
          </w:p>
        </w:tc>
        <w:tc>
          <w:tcPr>
            <w:tcW w:w="7756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02127B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核心路径完成率、证据使用率、理解表达质量、课程目标达成度</w:t>
            </w:r>
          </w:p>
        </w:tc>
      </w:tr>
      <w:tr w14:paraId="054F083C">
        <w:trPr>
          <w:cantSplit/>
        </w:trPr>
        <w:tc>
          <w:tcPr>
            <w:tcW w:w="160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6E7B19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行动转化</w:t>
            </w:r>
          </w:p>
        </w:tc>
        <w:tc>
          <w:tcPr>
            <w:tcW w:w="77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22011F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行动选择率、30/90天反馈率、团队实践项目完成率</w:t>
            </w:r>
          </w:p>
        </w:tc>
      </w:tr>
      <w:tr w14:paraId="173E9CA7">
        <w:trPr>
          <w:cantSplit/>
        </w:trPr>
        <w:tc>
          <w:tcPr>
            <w:tcW w:w="1604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1BF718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持续参与</w:t>
            </w:r>
          </w:p>
        </w:tc>
        <w:tc>
          <w:tcPr>
            <w:tcW w:w="7756" w:type="dxa"/>
            <w:shd w:val="clear" w:color="auto" w:fill="F7F2EC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34B66C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线上回访率、复访率、共创参与率、作品进入正式展示比例</w:t>
            </w:r>
          </w:p>
        </w:tc>
      </w:tr>
      <w:tr w14:paraId="5EC058E5">
        <w:trPr>
          <w:cantSplit/>
        </w:trPr>
        <w:tc>
          <w:tcPr>
            <w:tcW w:w="160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711D89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全国复制</w:t>
            </w:r>
          </w:p>
        </w:tc>
        <w:tc>
          <w:tcPr>
            <w:tcW w:w="775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09336C">
            <w:pPr>
              <w:spacing w:after="0" w:line="276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color w:val="252525"/>
                <w:sz w:val="20"/>
                <w:szCs w:val="24"/>
              </w:rPr>
              <w:t>组件复用率、节点部署周期、地方内容接入效率、节点质量达标率</w:t>
            </w:r>
          </w:p>
        </w:tc>
      </w:tr>
    </w:tbl>
    <w:p w14:paraId="3823845F">
      <w:pPr>
        <w:spacing w:after="20"/>
        <w:rPr>
          <w:rFonts w:hint="eastAsia" w:ascii="仿宋" w:hAnsi="仿宋" w:eastAsia="仿宋" w:cs="仿宋"/>
          <w:sz w:val="22"/>
          <w:szCs w:val="24"/>
        </w:rPr>
      </w:pPr>
    </w:p>
    <w:p w14:paraId="3A52A012">
      <w:pPr>
        <w:pStyle w:val="4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252525"/>
          <w:sz w:val="28"/>
          <w:szCs w:val="28"/>
        </w:rPr>
        <w:t>10.2 必须坚持的底线指标</w:t>
      </w:r>
    </w:p>
    <w:p w14:paraId="61C582D4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正式核心内容专家审核覆盖率：100%；</w:t>
      </w:r>
    </w:p>
    <w:p w14:paraId="7978E0F2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正式AI回答具备来源或不确定性说明；</w:t>
      </w:r>
    </w:p>
    <w:p w14:paraId="3A2260B3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未经审核的AI生成内容不得直接进入正式展陈；</w:t>
      </w:r>
    </w:p>
    <w:p w14:paraId="324703BB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所有数字合成角色和内容明确标识；</w:t>
      </w:r>
    </w:p>
    <w:p w14:paraId="02D20902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未成年人和港澳用户数据严格遵循最小必要原则；</w:t>
      </w:r>
    </w:p>
    <w:p w14:paraId="151BE7CD">
      <w:pPr>
        <w:pStyle w:val="16"/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教育效果评估不得转化为个人思想标签或公开排名。</w:t>
      </w:r>
    </w:p>
    <w:p w14:paraId="4D0DC6A6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具体业务目标值应在试运营形成基线后确定，避免脱离实际拍脑袋设数。</w:t>
      </w:r>
    </w:p>
    <w:p w14:paraId="10D85FBA">
      <w:pPr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sz w:val="22"/>
          <w:szCs w:val="24"/>
        </w:rPr>
        <w:br w:type="page"/>
      </w:r>
    </w:p>
    <w:p w14:paraId="0B4E7FB3">
      <w:pPr>
        <w:pStyle w:val="3"/>
        <w:pBdr>
          <w:bottom w:val="single" w:color="C59B53" w:sz="16" w:space="5"/>
        </w:pBdr>
        <w:rPr>
          <w:rFonts w:hint="eastAsia" w:ascii="仿宋" w:hAnsi="仿宋" w:eastAsia="仿宋" w:cs="仿宋"/>
          <w:sz w:val="36"/>
          <w:szCs w:val="32"/>
        </w:rPr>
      </w:pPr>
      <w:r>
        <w:rPr>
          <w:rFonts w:hint="eastAsia" w:ascii="仿宋" w:hAnsi="仿宋" w:eastAsia="仿宋" w:cs="仿宋"/>
          <w:b w:val="0"/>
          <w:color w:val="252525"/>
          <w:sz w:val="36"/>
          <w:szCs w:val="32"/>
        </w:rPr>
        <w:t>十一、最终形成的项目壁垒</w:t>
      </w:r>
    </w:p>
    <w:p w14:paraId="24FF58CD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当方案完整落地后，项目的竞争力不再是“拥有多少屏幕、多少VR设备”，而是形成六项难以被简单模仿的能力：</w:t>
      </w:r>
    </w:p>
    <w:p w14:paraId="79A7EA53">
      <w:pPr>
        <w:pStyle w:val="14"/>
        <w:numPr>
          <w:numId w:val="16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权威史料与知识图谱壁垒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；</w:t>
      </w:r>
    </w:p>
    <w:p w14:paraId="5E5952BE">
      <w:pPr>
        <w:pStyle w:val="14"/>
        <w:numPr>
          <w:numId w:val="16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分龄、分众、分场景叙事能力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；</w:t>
      </w:r>
    </w:p>
    <w:p w14:paraId="0C2E8E66">
      <w:pPr>
        <w:pStyle w:val="14"/>
        <w:numPr>
          <w:numId w:val="16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历史体验到现实行动的教育闭环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；</w:t>
      </w:r>
    </w:p>
    <w:p w14:paraId="7BCD1EB9">
      <w:pPr>
        <w:pStyle w:val="14"/>
        <w:numPr>
          <w:numId w:val="16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粤港澳青年持续共创机制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；</w:t>
      </w:r>
    </w:p>
    <w:p w14:paraId="4D01C82F">
      <w:pPr>
        <w:pStyle w:val="14"/>
        <w:numPr>
          <w:numId w:val="16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线上线下一体化长期用户关系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；</w:t>
      </w:r>
    </w:p>
    <w:p w14:paraId="36422177">
      <w:pPr>
        <w:pStyle w:val="14"/>
        <w:numPr>
          <w:numId w:val="16"/>
        </w:numPr>
        <w:spacing w:after="60"/>
        <w:ind w:left="403" w:hanging="259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/>
          <w:color w:val="9E1B1B"/>
          <w:sz w:val="22"/>
          <w:szCs w:val="24"/>
        </w:rPr>
        <w:t>可快速部署的全国数字展馆OS与标准体系</w:t>
      </w: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。</w:t>
      </w:r>
    </w:p>
    <w:p w14:paraId="0A33E80F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最终，这里不只是一个“展示延安精神的场馆”，而应成为：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5"/>
      </w:tblGrid>
      <w:tr w14:paraId="7A74E60E">
        <w:tc>
          <w:tcPr>
            <w:tcW w:w="9360" w:type="dxa"/>
            <w:shd w:val="clear" w:color="auto" w:fill="F7F2EC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10661BB8">
            <w:pPr>
              <w:spacing w:after="0" w:line="312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4"/>
                <w:szCs w:val="24"/>
              </w:rPr>
              <w:t>延安精神在新时代被权威阐释、被青年理解、被社会实践、被共同创造并被全国持续传播的基础设施。</w:t>
            </w:r>
          </w:p>
        </w:tc>
      </w:tr>
    </w:tbl>
    <w:p w14:paraId="07C3F5EC">
      <w:pPr>
        <w:keepLines/>
        <w:jc w:val="both"/>
        <w:rPr>
          <w:rFonts w:hint="eastAsia" w:ascii="仿宋" w:hAnsi="仿宋" w:eastAsia="仿宋" w:cs="仿宋"/>
          <w:sz w:val="22"/>
          <w:szCs w:val="24"/>
        </w:rPr>
      </w:pPr>
      <w:r>
        <w:rPr>
          <w:rFonts w:hint="eastAsia" w:ascii="仿宋" w:hAnsi="仿宋" w:eastAsia="仿宋" w:cs="仿宋"/>
          <w:b w:val="0"/>
          <w:color w:val="252525"/>
          <w:sz w:val="22"/>
          <w:szCs w:val="24"/>
        </w:rPr>
        <w:t>可以用一句更具传播性的项目主张概括：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5"/>
      </w:tblGrid>
      <w:tr w14:paraId="710A0807">
        <w:tc>
          <w:tcPr>
            <w:tcW w:w="9360" w:type="dxa"/>
            <w:shd w:val="clear" w:color="auto" w:fill="F7F2EC"/>
            <w:tcMar>
              <w:top w:w="170" w:type="dxa"/>
              <w:left w:w="220" w:type="dxa"/>
              <w:bottom w:w="170" w:type="dxa"/>
              <w:right w:w="220" w:type="dxa"/>
            </w:tcMar>
          </w:tcPr>
          <w:p w14:paraId="47713F97">
            <w:pPr>
              <w:spacing w:after="0" w:line="312" w:lineRule="auto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9E1B1B"/>
                <w:sz w:val="24"/>
                <w:szCs w:val="24"/>
              </w:rPr>
              <w:t>来这里，不只是了解一段历史；而是在今天完成一次选择、一次行动和一次共同创造。</w:t>
            </w:r>
          </w:p>
        </w:tc>
      </w:tr>
    </w:tbl>
    <w:p w14:paraId="47144314">
      <w:pPr>
        <w:rPr>
          <w:rFonts w:hint="eastAsia" w:ascii="仿宋" w:hAnsi="仿宋" w:eastAsia="仿宋" w:cs="仿宋"/>
          <w:sz w:val="22"/>
          <w:szCs w:val="24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9" w:h="16834"/>
      <w:pgMar w:top="1123" w:right="1080" w:bottom="1037" w:left="1224" w:header="504" w:footer="504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altName w:val="仿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5BDAF">
    <w:pPr>
      <w:pStyle w:val="24"/>
      <w:jc w:val="center"/>
    </w:pPr>
    <w:r>
      <w:rPr>
        <w:rFonts w:ascii="Arial Unicode MS" w:hAnsi="Arial Unicode MS" w:eastAsia="Arial Unicode MS" w:cs="Arial Unicode MS"/>
        <w:color w:val="666666"/>
        <w:sz w:val="16"/>
      </w:rPr>
      <w:t xml:space="preserve">—  </w:t>
    </w:r>
    <w:r>
      <w:fldChar w:fldCharType="begin"/>
    </w:r>
    <w:r>
      <w:instrText xml:space="preserve">PAGE</w:instrText>
    </w:r>
    <w:r>
      <w:fldChar w:fldCharType="separate"/>
    </w:r>
    <w:r>
      <w:fldChar w:fldCharType="end"/>
    </w:r>
    <w:r>
      <w:rPr>
        <w:rFonts w:ascii="Arial Unicode MS" w:hAnsi="Arial Unicode MS" w:eastAsia="Arial Unicode MS" w:cs="Arial Unicode MS"/>
        <w:color w:val="666666"/>
        <w:sz w:val="16"/>
      </w:rPr>
      <w:t xml:space="preserve"> 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4" w:lineRule="auto"/>
      </w:pPr>
      <w:r>
        <w:separator/>
      </w:r>
    </w:p>
  </w:footnote>
  <w:footnote w:type="continuationSeparator" w:id="1">
    <w:p>
      <w:pPr>
        <w:spacing w:before="0" w:after="0" w:line="32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5F3949">
    <w:pPr>
      <w:pStyle w:val="25"/>
      <w:pBdr>
        <w:bottom w:val="single" w:color="D8CCC0" w:sz="6" w:space="5"/>
      </w:pBdr>
      <w:jc w:val="right"/>
    </w:pPr>
    <w:r>
      <w:rPr>
        <w:rFonts w:ascii="Arial Unicode MS" w:hAnsi="Arial Unicode MS" w:eastAsia="Arial Unicode MS" w:cs="Arial Unicode MS"/>
        <w:color w:val="666666"/>
        <w:sz w:val="17"/>
      </w:rPr>
      <w:t>延安精神（大湾区）学习展示中心  ·  创新升级方案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FAFCA8B"/>
    <w:rsid w:val="BFB5D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24" w:lineRule="auto"/>
    </w:pPr>
    <w:rPr>
      <w:rFonts w:ascii="Arial Unicode MS" w:hAnsi="Arial Unicode MS" w:eastAsia="Arial Unicode MS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360" w:after="180"/>
      <w:outlineLvl w:val="0"/>
    </w:pPr>
    <w:rPr>
      <w:rFonts w:asciiTheme="majorHAnsi" w:hAnsiTheme="majorHAnsi" w:eastAsiaTheme="majorEastAsia" w:cstheme="majorBidi"/>
      <w:b/>
      <w:bCs/>
      <w:color w:val="9E1B1B"/>
      <w:sz w:val="34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60" w:after="120"/>
      <w:outlineLvl w:val="1"/>
    </w:pPr>
    <w:rPr>
      <w:rFonts w:asciiTheme="majorHAnsi" w:hAnsiTheme="majorHAnsi" w:eastAsiaTheme="majorEastAsia" w:cstheme="majorBidi"/>
      <w:b/>
      <w:bCs/>
      <w:color w:val="4A0F12"/>
      <w:sz w:val="27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180" w:after="80"/>
      <w:outlineLvl w:val="2"/>
    </w:pPr>
    <w:rPr>
      <w:rFonts w:asciiTheme="majorHAnsi" w:hAnsiTheme="majorHAnsi" w:eastAsiaTheme="majorEastAsia" w:cstheme="majorBidi"/>
      <w:b/>
      <w:bCs/>
      <w:color w:val="9E1B1B"/>
      <w:sz w:val="23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140" w:after="60"/>
      <w:outlineLvl w:val="3"/>
    </w:pPr>
    <w:rPr>
      <w:rFonts w:asciiTheme="majorHAnsi" w:hAnsiTheme="majorHAnsi" w:eastAsiaTheme="majorEastAsia" w:cstheme="majorBidi"/>
      <w:b/>
      <w:bCs/>
      <w:i/>
      <w:iCs/>
      <w:color w:val="4A0F12"/>
      <w:sz w:val="21"/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keepNext/>
      <w:pBdr>
        <w:bottom w:val="single" w:color="4F81BD" w:themeColor="accent1" w:sz="8" w:space="4"/>
      </w:pBdr>
      <w:spacing w:before="0" w:after="280" w:line="240" w:lineRule="auto"/>
      <w:contextualSpacing/>
    </w:pPr>
    <w:rPr>
      <w:rFonts w:asciiTheme="majorHAnsi" w:hAnsiTheme="majorHAnsi" w:eastAsiaTheme="majorEastAsia" w:cstheme="majorBidi"/>
      <w:b/>
      <w:color w:val="4A0F12"/>
      <w:spacing w:val="5"/>
      <w:kern w:val="28"/>
      <w:sz w:val="50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王立刚</cp:lastModifiedBy>
  <dcterms:modified xsi:type="dcterms:W3CDTF">2026-07-12T15:02:45Z</dcterms:modified>
  <dc:subject>专业创新升级方案</dc:subject>
  <dc:title>延安精神（大湾区）学习展示中心—终极目标导向创新升级方案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231D6DB0FB3479C9153C536A2D4389DC_43</vt:lpwstr>
  </property>
</Properties>
</file>